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hint="eastAsia" w:ascii="微软雅黑" w:hAnsi="微软雅黑" w:eastAsia="微软雅黑" w:cs="微软雅黑"/>
          <w:color w:val="000000" w:themeColor="text1"/>
          <w:kern w:val="0"/>
          <w:sz w:val="40"/>
          <w:szCs w:val="40"/>
          <w:lang w:bidi="ar"/>
          <w14:textFill>
            <w14:solidFill>
              <w14:schemeClr w14:val="tx1"/>
            </w14:solidFill>
          </w14:textFill>
        </w:rPr>
      </w:pPr>
      <w:bookmarkStart w:id="0" w:name="OLE_LINK7"/>
      <w:r>
        <w:rPr>
          <w:rFonts w:hint="eastAsia" w:ascii="微软雅黑" w:hAnsi="微软雅黑" w:eastAsia="微软雅黑" w:cs="微软雅黑"/>
          <w:color w:val="000000" w:themeColor="text1"/>
          <w:kern w:val="0"/>
          <w:sz w:val="40"/>
          <w:szCs w:val="40"/>
          <w:lang w:bidi="ar"/>
          <w14:textFill>
            <w14:solidFill>
              <w14:schemeClr w14:val="tx1"/>
            </w14:solidFill>
          </w14:textFill>
        </w:rPr>
        <w:t>揭西县村庄规划</w:t>
      </w:r>
      <w:bookmarkStart w:id="1" w:name="OLE_LINK6"/>
      <w:r>
        <w:rPr>
          <w:rFonts w:hint="eastAsia" w:ascii="微软雅黑" w:hAnsi="微软雅黑" w:eastAsia="微软雅黑" w:cs="微软雅黑"/>
          <w:color w:val="000000" w:themeColor="text1"/>
          <w:kern w:val="0"/>
          <w:sz w:val="40"/>
          <w:szCs w:val="40"/>
          <w:lang w:bidi="ar"/>
          <w14:textFill>
            <w14:solidFill>
              <w14:schemeClr w14:val="tx1"/>
            </w14:solidFill>
          </w14:textFill>
        </w:rPr>
        <w:t>管理通则</w:t>
      </w:r>
      <w:bookmarkEnd w:id="0"/>
      <w:bookmarkEnd w:id="1"/>
      <w:r>
        <w:rPr>
          <w:rFonts w:hint="eastAsia" w:ascii="微软雅黑" w:hAnsi="微软雅黑" w:eastAsia="微软雅黑" w:cs="微软雅黑"/>
          <w:color w:val="000000" w:themeColor="text1"/>
          <w:kern w:val="0"/>
          <w:sz w:val="40"/>
          <w:szCs w:val="40"/>
          <w:lang w:bidi="ar"/>
          <w14:textFill>
            <w14:solidFill>
              <w14:schemeClr w14:val="tx1"/>
            </w14:solidFill>
          </w14:textFill>
        </w:rPr>
        <w:t>（试行）</w:t>
      </w:r>
    </w:p>
    <w:p>
      <w:pPr>
        <w:ind w:firstLine="600" w:firstLineChars="200"/>
        <w:jc w:val="left"/>
        <w:rPr>
          <w:rFonts w:ascii="Times New Roman" w:hAnsi="Times New Roman" w:eastAsia="仿宋_GB2312" w:cs="Times New Roman"/>
          <w:color w:val="000000" w:themeColor="text1"/>
          <w:sz w:val="30"/>
          <w14:textFill>
            <w14:solidFill>
              <w14:schemeClr w14:val="tx1"/>
            </w14:solidFill>
          </w14:textFill>
        </w:rPr>
      </w:pPr>
      <w:r>
        <w:rPr>
          <w:rFonts w:hint="eastAsia" w:ascii="Times New Roman" w:hAnsi="Times New Roman" w:eastAsia="仿宋_GB2312" w:cs="Times New Roman"/>
          <w:color w:val="000000" w:themeColor="text1"/>
          <w:sz w:val="30"/>
          <w14:textFill>
            <w14:solidFill>
              <w14:schemeClr w14:val="tx1"/>
            </w14:solidFill>
          </w14:textFill>
        </w:rPr>
        <w:t>为强化我县城镇开发边界外未编制“多规合一”实用型村庄规划的行政村国土空间用途管控，实现乡村地区规划管理全覆盖；为核发乡村建设规划许可提供依据，满足村庄建设基本建设和管理需求，根据《自然资源部 中央农村工作领导小组办公室关于学习运用“千万工程”经验提高村庄规划编制质量和实效的通知》、《自然资源部办公厅关于切实做好村庄规划工作的通知》等文件要求，结合我县乡村地区实际规划管理需要，制定本管理通则。</w:t>
      </w:r>
    </w:p>
    <w:p>
      <w:pPr>
        <w:spacing w:line="360" w:lineRule="auto"/>
        <w:ind w:firstLine="600" w:firstLineChars="200"/>
        <w:rPr>
          <w:rFonts w:ascii="Times New Roman" w:hAnsi="Times New Roman" w:eastAsia="仿宋_GB2312" w:cs="Times New Roman"/>
          <w:color w:val="000000" w:themeColor="text1"/>
          <w:sz w:val="30"/>
          <w14:textFill>
            <w14:solidFill>
              <w14:schemeClr w14:val="tx1"/>
            </w14:solidFill>
          </w14:textFill>
        </w:rPr>
      </w:pPr>
      <w:r>
        <w:rPr>
          <w:rFonts w:hint="eastAsia" w:ascii="Times New Roman" w:hAnsi="Times New Roman" w:eastAsia="仿宋_GB2312" w:cs="Times New Roman"/>
          <w:color w:val="000000" w:themeColor="text1"/>
          <w:sz w:val="30"/>
          <w14:textFill>
            <w14:solidFill>
              <w14:schemeClr w14:val="tx1"/>
            </w14:solidFill>
          </w14:textFill>
        </w:rPr>
        <w:t>　一、总体要求</w:t>
      </w:r>
    </w:p>
    <w:p>
      <w:pPr>
        <w:spacing w:line="360" w:lineRule="auto"/>
        <w:ind w:firstLine="600" w:firstLineChars="200"/>
        <w:rPr>
          <w:rFonts w:ascii="Times New Roman" w:hAnsi="Times New Roman" w:eastAsia="仿宋_GB2312" w:cs="Times New Roman"/>
          <w:color w:val="000000" w:themeColor="text1"/>
          <w:sz w:val="30"/>
          <w14:textFill>
            <w14:solidFill>
              <w14:schemeClr w14:val="tx1"/>
            </w14:solidFill>
          </w14:textFill>
        </w:rPr>
      </w:pPr>
      <w:r>
        <w:rPr>
          <w:rFonts w:hint="eastAsia" w:ascii="Times New Roman" w:hAnsi="Times New Roman" w:eastAsia="仿宋_GB2312" w:cs="Times New Roman"/>
          <w:color w:val="000000" w:themeColor="text1"/>
          <w:sz w:val="30"/>
          <w14:textFill>
            <w14:solidFill>
              <w14:schemeClr w14:val="tx1"/>
            </w14:solidFill>
          </w14:textFill>
        </w:rPr>
        <w:t>（一）本管理通则以国家和地方相关法律法规、政策文件、标准规范等为依据。以城乡融合、底线思维、农民主体、技术引导为原则，通盘考虑村民住房建设、乡村产业发展、基础设施建设的相关需求，引导乡村地区开展符合国土空间规划的各类开发建设活动。</w:t>
      </w:r>
    </w:p>
    <w:p>
      <w:pPr>
        <w:spacing w:line="360" w:lineRule="auto"/>
        <w:ind w:firstLine="600" w:firstLineChars="200"/>
        <w:rPr>
          <w:rFonts w:ascii="Times New Roman" w:hAnsi="Times New Roman" w:eastAsia="仿宋_GB2312" w:cs="Times New Roman"/>
          <w:color w:val="000000" w:themeColor="text1"/>
          <w:sz w:val="30"/>
          <w14:textFill>
            <w14:solidFill>
              <w14:schemeClr w14:val="tx1"/>
            </w14:solidFill>
          </w14:textFill>
        </w:rPr>
      </w:pPr>
      <w:r>
        <w:rPr>
          <w:rFonts w:hint="eastAsia" w:ascii="Times New Roman" w:hAnsi="Times New Roman" w:eastAsia="仿宋_GB2312" w:cs="Times New Roman"/>
          <w:color w:val="000000" w:themeColor="text1"/>
          <w:sz w:val="30"/>
          <w14:textFill>
            <w14:solidFill>
              <w14:schemeClr w14:val="tx1"/>
            </w14:solidFill>
          </w14:textFill>
        </w:rPr>
        <w:t>（二）本管理通则适用于揭西县城镇开发边界外乡村地区建设项目的规划管理，主要包括村民住宅用地、乡村基础设施和公共服务设施用地、乡村产业用地等各类项目的新建、改建、扩建。已编制并依法批准“多规合一”实用型村庄规划和镇级国土空间规划的乡镇、街道和村庄，按照已批复规划进行管理。</w:t>
      </w:r>
    </w:p>
    <w:p>
      <w:pPr>
        <w:spacing w:line="360" w:lineRule="auto"/>
        <w:ind w:firstLine="600" w:firstLineChars="200"/>
        <w:rPr>
          <w:rFonts w:ascii="Times New Roman" w:hAnsi="Times New Roman" w:eastAsia="仿宋_GB2312" w:cs="Times New Roman"/>
          <w:color w:val="000000" w:themeColor="text1"/>
          <w:sz w:val="30"/>
          <w14:textFill>
            <w14:solidFill>
              <w14:schemeClr w14:val="tx1"/>
            </w14:solidFill>
          </w14:textFill>
        </w:rPr>
      </w:pPr>
      <w:r>
        <w:rPr>
          <w:rFonts w:hint="eastAsia" w:ascii="Times New Roman" w:hAnsi="Times New Roman" w:eastAsia="仿宋_GB2312" w:cs="Times New Roman"/>
          <w:color w:val="000000" w:themeColor="text1"/>
          <w:sz w:val="30"/>
          <w14:textFill>
            <w14:solidFill>
              <w14:schemeClr w14:val="tx1"/>
            </w14:solidFill>
          </w14:textFill>
        </w:rPr>
        <w:t>二、管控要求</w:t>
      </w:r>
    </w:p>
    <w:p>
      <w:pPr>
        <w:spacing w:line="360" w:lineRule="auto"/>
        <w:ind w:firstLine="600" w:firstLineChars="200"/>
        <w:rPr>
          <w:rFonts w:ascii="Times New Roman" w:hAnsi="Times New Roman" w:eastAsia="仿宋_GB2312" w:cs="Times New Roman"/>
          <w:color w:val="000000" w:themeColor="text1"/>
          <w:sz w:val="30"/>
          <w14:textFill>
            <w14:solidFill>
              <w14:schemeClr w14:val="tx1"/>
            </w14:solidFill>
          </w14:textFill>
        </w:rPr>
      </w:pPr>
      <w:r>
        <w:rPr>
          <w:rFonts w:hint="eastAsia" w:ascii="Times New Roman" w:hAnsi="Times New Roman" w:eastAsia="仿宋_GB2312" w:cs="Times New Roman"/>
          <w:color w:val="000000" w:themeColor="text1"/>
          <w:sz w:val="30"/>
          <w14:textFill>
            <w14:solidFill>
              <w14:schemeClr w14:val="tx1"/>
            </w14:solidFill>
          </w14:textFill>
        </w:rPr>
        <w:t>（一）底线和指标约束。</w:t>
      </w:r>
    </w:p>
    <w:p>
      <w:pPr>
        <w:spacing w:line="360" w:lineRule="auto"/>
        <w:ind w:firstLine="600" w:firstLineChars="200"/>
        <w:rPr>
          <w:rFonts w:ascii="Times New Roman" w:hAnsi="Times New Roman" w:eastAsia="仿宋_GB2312" w:cs="Times New Roman"/>
          <w:color w:val="000000" w:themeColor="text1"/>
          <w:sz w:val="30"/>
          <w14:textFill>
            <w14:solidFill>
              <w14:schemeClr w14:val="tx1"/>
            </w14:solidFill>
          </w14:textFill>
        </w:rPr>
      </w:pPr>
      <w:r>
        <w:rPr>
          <w:rFonts w:hint="eastAsia" w:ascii="Times New Roman" w:hAnsi="Times New Roman" w:eastAsia="仿宋_GB2312" w:cs="Times New Roman"/>
          <w:color w:val="000000" w:themeColor="text1"/>
          <w:sz w:val="30"/>
          <w14:textFill>
            <w14:solidFill>
              <w14:schemeClr w14:val="tx1"/>
            </w14:solidFill>
          </w14:textFill>
        </w:rPr>
        <w:t>1.执行空间控制线管控。严格落实耕地和永久基本农田、生态保护红线保护任务，落实“三区三线”划定成果；传导落实揭西县国土空间总体规划中的其他各类空间控制线，按照规划落实布局和控制要求。</w:t>
      </w:r>
    </w:p>
    <w:p>
      <w:pPr>
        <w:spacing w:line="360" w:lineRule="auto"/>
        <w:ind w:firstLine="600" w:firstLineChars="200"/>
        <w:rPr>
          <w:rFonts w:ascii="Times New Roman" w:hAnsi="Times New Roman" w:eastAsia="仿宋_GB2312" w:cs="Times New Roman"/>
          <w:color w:val="000000" w:themeColor="text1"/>
          <w:sz w:val="30"/>
          <w14:textFill>
            <w14:solidFill>
              <w14:schemeClr w14:val="tx1"/>
            </w14:solidFill>
          </w14:textFill>
        </w:rPr>
      </w:pPr>
      <w:r>
        <w:rPr>
          <w:rFonts w:hint="eastAsia" w:ascii="Times New Roman" w:hAnsi="Times New Roman" w:eastAsia="仿宋_GB2312" w:cs="Times New Roman"/>
          <w:color w:val="000000" w:themeColor="text1"/>
          <w:sz w:val="30"/>
          <w14:textFill>
            <w14:solidFill>
              <w14:schemeClr w14:val="tx1"/>
            </w14:solidFill>
          </w14:textFill>
        </w:rPr>
        <w:t>（1）永久基本农田。乡镇、街道落实永久基本农田保护任务（详见附则</w:t>
      </w:r>
      <w:r>
        <w:rPr>
          <w:rFonts w:hint="eastAsia" w:ascii="Times New Roman" w:hAnsi="Times New Roman" w:eastAsia="仿宋_GB2312" w:cs="Times New Roman"/>
          <w:color w:val="000000" w:themeColor="text1"/>
          <w:sz w:val="30"/>
          <w:lang w:val="en-US" w:eastAsia="zh-CN"/>
          <w14:textFill>
            <w14:solidFill>
              <w14:schemeClr w14:val="tx1"/>
            </w14:solidFill>
          </w14:textFill>
        </w:rPr>
        <w:t>2</w:t>
      </w:r>
      <w:r>
        <w:rPr>
          <w:rFonts w:hint="eastAsia" w:ascii="Times New Roman" w:hAnsi="Times New Roman" w:eastAsia="仿宋_GB2312" w:cs="Times New Roman"/>
          <w:color w:val="000000" w:themeColor="text1"/>
          <w:sz w:val="30"/>
          <w14:textFill>
            <w14:solidFill>
              <w14:schemeClr w14:val="tx1"/>
            </w14:solidFill>
          </w14:textFill>
        </w:rPr>
        <w:t>），任何单位和个人不得擅自占用或改变用途。落实耕地保有量（详见附则</w:t>
      </w:r>
      <w:r>
        <w:rPr>
          <w:rFonts w:hint="eastAsia" w:ascii="Times New Roman" w:hAnsi="Times New Roman" w:eastAsia="仿宋_GB2312" w:cs="Times New Roman"/>
          <w:color w:val="000000" w:themeColor="text1"/>
          <w:sz w:val="30"/>
          <w:lang w:val="en-US" w:eastAsia="zh-CN"/>
          <w14:textFill>
            <w14:solidFill>
              <w14:schemeClr w14:val="tx1"/>
            </w14:solidFill>
          </w14:textFill>
        </w:rPr>
        <w:t>2</w:t>
      </w:r>
      <w:r>
        <w:rPr>
          <w:rFonts w:hint="eastAsia" w:ascii="Times New Roman" w:hAnsi="Times New Roman" w:eastAsia="仿宋_GB2312" w:cs="Times New Roman"/>
          <w:color w:val="000000" w:themeColor="text1"/>
          <w:sz w:val="30"/>
          <w14:textFill>
            <w14:solidFill>
              <w14:schemeClr w14:val="tx1"/>
            </w14:solidFill>
          </w14:textFill>
        </w:rPr>
        <w:t>），任何个人和单位不得随意占用耕地，确需占用的，应经村民小组确认，村委会审查同意并出具书面意见后，由镇政府按程序办理相关</w:t>
      </w:r>
      <w:r>
        <w:rPr>
          <w:rFonts w:hint="eastAsia" w:ascii="Times New Roman" w:hAnsi="Times New Roman" w:eastAsia="仿宋_GB2312" w:cs="Times New Roman"/>
          <w:color w:val="000000" w:themeColor="text1"/>
          <w:sz w:val="30"/>
          <w:lang w:val="en-US" w:eastAsia="zh-CN"/>
          <w14:textFill>
            <w14:solidFill>
              <w14:schemeClr w14:val="tx1"/>
            </w14:solidFill>
          </w14:textFill>
        </w:rPr>
        <w:t>报</w:t>
      </w:r>
      <w:r>
        <w:rPr>
          <w:rFonts w:hint="eastAsia" w:ascii="Times New Roman" w:hAnsi="Times New Roman" w:eastAsia="仿宋_GB2312" w:cs="Times New Roman"/>
          <w:color w:val="000000" w:themeColor="text1"/>
          <w:sz w:val="30"/>
          <w14:textFill>
            <w14:solidFill>
              <w14:schemeClr w14:val="tx1"/>
            </w14:solidFill>
          </w14:textFill>
        </w:rPr>
        <w:t>批手续。耕地保有量和永久基本农田依据国家、省</w:t>
      </w:r>
      <w:r>
        <w:rPr>
          <w:rFonts w:hint="eastAsia" w:ascii="Times New Roman" w:hAnsi="Times New Roman" w:eastAsia="仿宋_GB2312" w:cs="Times New Roman"/>
          <w:color w:val="000000" w:themeColor="text1"/>
          <w:sz w:val="30"/>
          <w:lang w:eastAsia="zh-CN"/>
          <w14:textFill>
            <w14:solidFill>
              <w14:schemeClr w14:val="tx1"/>
            </w14:solidFill>
          </w14:textFill>
        </w:rPr>
        <w:t>、</w:t>
      </w:r>
      <w:r>
        <w:rPr>
          <w:rFonts w:hint="eastAsia" w:ascii="Times New Roman" w:hAnsi="Times New Roman" w:eastAsia="仿宋_GB2312" w:cs="Times New Roman"/>
          <w:color w:val="000000" w:themeColor="text1"/>
          <w:sz w:val="30"/>
          <w14:textFill>
            <w14:solidFill>
              <w14:schemeClr w14:val="tx1"/>
            </w14:solidFill>
          </w14:textFill>
        </w:rPr>
        <w:t>市相关规定和政策进行管控。</w:t>
      </w:r>
    </w:p>
    <w:p>
      <w:pPr>
        <w:spacing w:line="360" w:lineRule="auto"/>
        <w:ind w:firstLine="600" w:firstLineChars="200"/>
        <w:rPr>
          <w:rFonts w:ascii="Times New Roman" w:hAnsi="Times New Roman" w:eastAsia="仿宋_GB2312" w:cs="Times New Roman"/>
          <w:color w:val="000000" w:themeColor="text1"/>
          <w:sz w:val="30"/>
          <w14:textFill>
            <w14:solidFill>
              <w14:schemeClr w14:val="tx1"/>
            </w14:solidFill>
          </w14:textFill>
        </w:rPr>
      </w:pPr>
      <w:r>
        <w:rPr>
          <w:rFonts w:hint="eastAsia" w:ascii="Times New Roman" w:hAnsi="Times New Roman" w:eastAsia="仿宋_GB2312" w:cs="Times New Roman"/>
          <w:color w:val="000000" w:themeColor="text1"/>
          <w:sz w:val="30"/>
          <w14:textFill>
            <w14:solidFill>
              <w14:schemeClr w14:val="tx1"/>
            </w14:solidFill>
          </w14:textFill>
        </w:rPr>
        <w:t>（2）生态保护红线。涉及陆域生态保护红线的乡镇、街道（详见附则</w:t>
      </w:r>
      <w:r>
        <w:rPr>
          <w:rFonts w:hint="eastAsia" w:ascii="Times New Roman" w:hAnsi="Times New Roman" w:eastAsia="仿宋_GB2312" w:cs="Times New Roman"/>
          <w:color w:val="000000" w:themeColor="text1"/>
          <w:sz w:val="30"/>
          <w:lang w:val="en-US" w:eastAsia="zh-CN"/>
          <w14:textFill>
            <w14:solidFill>
              <w14:schemeClr w14:val="tx1"/>
            </w14:solidFill>
          </w14:textFill>
        </w:rPr>
        <w:t>2</w:t>
      </w:r>
      <w:r>
        <w:rPr>
          <w:rFonts w:hint="eastAsia" w:ascii="Times New Roman" w:hAnsi="Times New Roman" w:eastAsia="仿宋_GB2312" w:cs="Times New Roman"/>
          <w:color w:val="000000" w:themeColor="text1"/>
          <w:sz w:val="30"/>
          <w14:textFill>
            <w14:solidFill>
              <w14:schemeClr w14:val="tx1"/>
            </w14:solidFill>
          </w14:textFill>
        </w:rPr>
        <w:t>），生态保护红线和自然保护地依据国家、省</w:t>
      </w:r>
      <w:r>
        <w:rPr>
          <w:rFonts w:hint="eastAsia" w:ascii="Times New Roman" w:hAnsi="Times New Roman" w:eastAsia="仿宋_GB2312" w:cs="Times New Roman"/>
          <w:color w:val="000000" w:themeColor="text1"/>
          <w:sz w:val="30"/>
          <w:lang w:eastAsia="zh-CN"/>
          <w14:textFill>
            <w14:solidFill>
              <w14:schemeClr w14:val="tx1"/>
            </w14:solidFill>
          </w14:textFill>
        </w:rPr>
        <w:t>、</w:t>
      </w:r>
      <w:r>
        <w:rPr>
          <w:rFonts w:hint="eastAsia" w:ascii="Times New Roman" w:hAnsi="Times New Roman" w:eastAsia="仿宋_GB2312" w:cs="Times New Roman"/>
          <w:color w:val="000000" w:themeColor="text1"/>
          <w:sz w:val="30"/>
          <w14:textFill>
            <w14:solidFill>
              <w14:schemeClr w14:val="tx1"/>
            </w14:solidFill>
          </w14:textFill>
        </w:rPr>
        <w:t>市相关规定和政策进行管控。</w:t>
      </w:r>
    </w:p>
    <w:p>
      <w:pPr>
        <w:spacing w:line="360" w:lineRule="auto"/>
        <w:ind w:firstLine="600" w:firstLineChars="200"/>
        <w:rPr>
          <w:rFonts w:ascii="Times New Roman" w:hAnsi="Times New Roman" w:eastAsia="仿宋_GB2312" w:cs="Times New Roman"/>
          <w:color w:val="000000" w:themeColor="text1"/>
          <w:sz w:val="30"/>
          <w14:textFill>
            <w14:solidFill>
              <w14:schemeClr w14:val="tx1"/>
            </w14:solidFill>
          </w14:textFill>
        </w:rPr>
      </w:pPr>
      <w:r>
        <w:rPr>
          <w:rFonts w:hint="eastAsia" w:ascii="Times New Roman" w:hAnsi="Times New Roman" w:eastAsia="仿宋_GB2312" w:cs="Times New Roman"/>
          <w:color w:val="000000" w:themeColor="text1"/>
          <w:sz w:val="30"/>
          <w14:textFill>
            <w14:solidFill>
              <w14:schemeClr w14:val="tx1"/>
            </w14:solidFill>
          </w14:textFill>
        </w:rPr>
        <w:t>生态林、水域、自然保留地等生态用地，不得进行破坏生态景观、污染环境的开发建设活动，涉及饮用水水源保护区的按照《广东省水污染防治条例》进行管理。做到慎砍树、禁挖山、不填湖。未经批准，不得在园地、商品林及其他农用地进行非农建设活动，不得进行毁林开垦、采石、挖沙、采矿、取土等活动。</w:t>
      </w:r>
    </w:p>
    <w:p>
      <w:pPr>
        <w:spacing w:line="360" w:lineRule="auto"/>
        <w:ind w:firstLine="600" w:firstLineChars="200"/>
        <w:rPr>
          <w:rFonts w:ascii="Times New Roman" w:hAnsi="Times New Roman" w:eastAsia="仿宋_GB2312" w:cs="Times New Roman"/>
          <w:color w:val="000000" w:themeColor="text1"/>
          <w:sz w:val="30"/>
          <w14:textFill>
            <w14:solidFill>
              <w14:schemeClr w14:val="tx1"/>
            </w14:solidFill>
          </w14:textFill>
        </w:rPr>
      </w:pPr>
      <w:r>
        <w:rPr>
          <w:rFonts w:hint="eastAsia" w:ascii="Times New Roman" w:hAnsi="Times New Roman" w:eastAsia="仿宋_GB2312" w:cs="Times New Roman"/>
          <w:color w:val="000000" w:themeColor="text1"/>
          <w:sz w:val="30"/>
          <w14:textFill>
            <w14:solidFill>
              <w14:schemeClr w14:val="tx1"/>
            </w14:solidFill>
          </w14:textFill>
        </w:rPr>
        <w:t>（3）村庄建设边界。各类乡村建设行为原则上应在村庄建设边界内开展。对空间区位有特殊要求的零星公共设施、文化旅游设施、农业设施、邻避设施等建设项目，确需在村庄建设边界外选址的，可按照相关政策要求执行。</w:t>
      </w:r>
    </w:p>
    <w:p>
      <w:pPr>
        <w:spacing w:line="360" w:lineRule="auto"/>
        <w:ind w:firstLine="600" w:firstLineChars="200"/>
        <w:rPr>
          <w:rFonts w:ascii="Times New Roman" w:hAnsi="Times New Roman" w:eastAsia="仿宋_GB2312" w:cs="Times New Roman"/>
          <w:color w:val="000000" w:themeColor="text1"/>
          <w:sz w:val="30"/>
          <w14:textFill>
            <w14:solidFill>
              <w14:schemeClr w14:val="tx1"/>
            </w14:solidFill>
          </w14:textFill>
        </w:rPr>
      </w:pPr>
      <w:r>
        <w:rPr>
          <w:rFonts w:hint="eastAsia" w:ascii="Times New Roman" w:hAnsi="Times New Roman" w:eastAsia="仿宋_GB2312" w:cs="Times New Roman"/>
          <w:color w:val="000000" w:themeColor="text1"/>
          <w:sz w:val="30"/>
          <w14:textFill>
            <w14:solidFill>
              <w14:schemeClr w14:val="tx1"/>
            </w14:solidFill>
          </w14:textFill>
        </w:rPr>
        <w:t>2.加强对乡村地区土地的规划、建设和监管，优化土地利用结构，加大对存量建设用地的挖潜，提高土地利用效率，推进土地综合整治和复垦，确保村庄建设用地的合理布局和规模控制，在规划期内村庄建设用地总量应保持“零增长”，城镇开发边界外村庄建设用地规模不得超过2020年城镇开发边界外村庄建设用地规模。</w:t>
      </w:r>
    </w:p>
    <w:p>
      <w:pPr>
        <w:spacing w:line="360" w:lineRule="auto"/>
        <w:ind w:firstLine="600" w:firstLineChars="200"/>
        <w:rPr>
          <w:rFonts w:ascii="Times New Roman" w:hAnsi="Times New Roman" w:eastAsia="仿宋_GB2312" w:cs="Times New Roman"/>
          <w:color w:val="000000" w:themeColor="text1"/>
          <w:sz w:val="30"/>
          <w14:textFill>
            <w14:solidFill>
              <w14:schemeClr w14:val="tx1"/>
            </w14:solidFill>
          </w14:textFill>
        </w:rPr>
      </w:pPr>
      <w:r>
        <w:rPr>
          <w:rFonts w:hint="eastAsia" w:ascii="Times New Roman" w:hAnsi="Times New Roman" w:eastAsia="仿宋_GB2312" w:cs="Times New Roman"/>
          <w:color w:val="000000" w:themeColor="text1"/>
          <w:sz w:val="30"/>
          <w14:textFill>
            <w14:solidFill>
              <w14:schemeClr w14:val="tx1"/>
            </w14:solidFill>
          </w14:textFill>
        </w:rPr>
        <w:t>（二）建设空间管控。</w:t>
      </w:r>
    </w:p>
    <w:p>
      <w:pPr>
        <w:ind w:firstLine="600" w:firstLineChars="200"/>
        <w:rPr>
          <w:rFonts w:ascii="Times New Roman" w:hAnsi="Times New Roman" w:eastAsia="仿宋_GB2312" w:cs="Times New Roman"/>
          <w:color w:val="000000" w:themeColor="text1"/>
          <w:sz w:val="30"/>
          <w14:textFill>
            <w14:solidFill>
              <w14:schemeClr w14:val="tx1"/>
            </w14:solidFill>
          </w14:textFill>
        </w:rPr>
      </w:pPr>
      <w:r>
        <w:rPr>
          <w:rFonts w:hint="eastAsia" w:ascii="Times New Roman" w:hAnsi="Times New Roman" w:eastAsia="仿宋_GB2312" w:cs="Times New Roman"/>
          <w:color w:val="000000" w:themeColor="text1"/>
          <w:sz w:val="30"/>
          <w14:textFill>
            <w14:solidFill>
              <w14:schemeClr w14:val="tx1"/>
            </w14:solidFill>
          </w14:textFill>
        </w:rPr>
        <w:t>1.产业发展空间</w:t>
      </w:r>
    </w:p>
    <w:p>
      <w:pPr>
        <w:ind w:firstLine="600" w:firstLineChars="200"/>
        <w:rPr>
          <w:rFonts w:ascii="Times New Roman" w:hAnsi="Times New Roman" w:eastAsia="仿宋_GB2312" w:cs="Times New Roman"/>
          <w:color w:val="000000" w:themeColor="text1"/>
          <w:sz w:val="30"/>
          <w14:textFill>
            <w14:solidFill>
              <w14:schemeClr w14:val="tx1"/>
            </w14:solidFill>
          </w14:textFill>
        </w:rPr>
      </w:pPr>
      <w:r>
        <w:rPr>
          <w:rFonts w:hint="eastAsia" w:ascii="Times New Roman" w:hAnsi="Times New Roman" w:eastAsia="仿宋_GB2312" w:cs="Times New Roman"/>
          <w:color w:val="000000" w:themeColor="text1"/>
          <w:sz w:val="30"/>
          <w14:textFill>
            <w14:solidFill>
              <w14:schemeClr w14:val="tx1"/>
            </w14:solidFill>
          </w14:textFill>
        </w:rPr>
        <w:t>（1）明确乡村产业项目建设要求。允许符合国土空间管控规则、有特定选址要求的农村一二三产业融合发展项目、零星城镇建设项目以及符合自然资源部《乡村振兴用地政策指南》（2023年）要求的乡村振兴建设项目布局在城镇开发边界外的村庄用地中。国家明令淘汰的落后产能、列入国家禁止类产业目录的、污染环境的项目，不得进入乡村。农村产业融合发展用地不得用于商品住宅、别墅、酒店、公寓等房地产开发，不得擅自改变用途或分割转让转租。</w:t>
      </w:r>
    </w:p>
    <w:p>
      <w:pPr>
        <w:ind w:firstLine="600" w:firstLineChars="200"/>
        <w:rPr>
          <w:rFonts w:ascii="Times New Roman" w:hAnsi="Times New Roman" w:eastAsia="仿宋_GB2312" w:cs="Times New Roman"/>
          <w:color w:val="000000" w:themeColor="text1"/>
          <w:sz w:val="30"/>
          <w14:textFill>
            <w14:solidFill>
              <w14:schemeClr w14:val="tx1"/>
            </w14:solidFill>
          </w14:textFill>
        </w:rPr>
      </w:pPr>
      <w:r>
        <w:rPr>
          <w:rFonts w:hint="eastAsia" w:ascii="Times New Roman" w:hAnsi="Times New Roman" w:eastAsia="仿宋_GB2312" w:cs="Times New Roman"/>
          <w:color w:val="000000" w:themeColor="text1"/>
          <w:sz w:val="30"/>
          <w14:textFill>
            <w14:solidFill>
              <w14:schemeClr w14:val="tx1"/>
            </w14:solidFill>
          </w14:textFill>
        </w:rPr>
        <w:t>（2）村庄产业用地选址应符合相关规范，遵循节约用地的原则，产业用地应符合《工业项目建设用地控制指标》关于容积率、建筑密度的控制要求，开发强度依照管控分类设定指标进行管控（详见附则</w:t>
      </w:r>
      <w:r>
        <w:rPr>
          <w:rFonts w:hint="eastAsia" w:ascii="Times New Roman" w:hAnsi="Times New Roman" w:eastAsia="仿宋_GB2312" w:cs="Times New Roman"/>
          <w:color w:val="000000" w:themeColor="text1"/>
          <w:sz w:val="30"/>
          <w:lang w:val="en-US" w:eastAsia="zh-CN"/>
          <w14:textFill>
            <w14:solidFill>
              <w14:schemeClr w14:val="tx1"/>
            </w14:solidFill>
          </w14:textFill>
        </w:rPr>
        <w:t>3</w:t>
      </w:r>
      <w:r>
        <w:rPr>
          <w:rFonts w:hint="eastAsia" w:ascii="Times New Roman" w:hAnsi="Times New Roman" w:eastAsia="仿宋_GB2312" w:cs="Times New Roman"/>
          <w:color w:val="000000" w:themeColor="text1"/>
          <w:sz w:val="30"/>
          <w14:textFill>
            <w14:solidFill>
              <w14:schemeClr w14:val="tx1"/>
            </w14:solidFill>
          </w14:textFill>
        </w:rPr>
        <w:t>），鼓励按照标准厂房的要求进行建设。</w:t>
      </w:r>
    </w:p>
    <w:p>
      <w:pPr>
        <w:ind w:firstLine="600" w:firstLineChars="200"/>
        <w:rPr>
          <w:rFonts w:ascii="Times New Roman" w:hAnsi="Times New Roman" w:eastAsia="仿宋_GB2312" w:cs="Times New Roman"/>
          <w:color w:val="000000" w:themeColor="text1"/>
          <w:sz w:val="30"/>
          <w14:textFill>
            <w14:solidFill>
              <w14:schemeClr w14:val="tx1"/>
            </w14:solidFill>
          </w14:textFill>
        </w:rPr>
      </w:pPr>
      <w:r>
        <w:rPr>
          <w:rFonts w:hint="eastAsia" w:ascii="Times New Roman" w:hAnsi="Times New Roman" w:eastAsia="仿宋_GB2312" w:cs="Times New Roman"/>
          <w:color w:val="000000" w:themeColor="text1"/>
          <w:sz w:val="30"/>
          <w14:textFill>
            <w14:solidFill>
              <w14:schemeClr w14:val="tx1"/>
            </w14:solidFill>
          </w14:textFill>
        </w:rPr>
        <w:t>（3）仓储用地开发强度依照管控分类设定指标进行管控（详见附则</w:t>
      </w:r>
      <w:r>
        <w:rPr>
          <w:rFonts w:hint="eastAsia" w:ascii="Times New Roman" w:hAnsi="Times New Roman" w:eastAsia="仿宋_GB2312" w:cs="Times New Roman"/>
          <w:color w:val="000000" w:themeColor="text1"/>
          <w:sz w:val="30"/>
          <w:lang w:val="en-US" w:eastAsia="zh-CN"/>
          <w14:textFill>
            <w14:solidFill>
              <w14:schemeClr w14:val="tx1"/>
            </w14:solidFill>
          </w14:textFill>
        </w:rPr>
        <w:t>3</w:t>
      </w:r>
      <w:r>
        <w:rPr>
          <w:rFonts w:hint="eastAsia" w:ascii="Times New Roman" w:hAnsi="Times New Roman" w:eastAsia="仿宋_GB2312" w:cs="Times New Roman"/>
          <w:color w:val="000000" w:themeColor="text1"/>
          <w:sz w:val="30"/>
          <w14:textFill>
            <w14:solidFill>
              <w14:schemeClr w14:val="tx1"/>
            </w14:solidFill>
          </w14:textFill>
        </w:rPr>
        <w:t>），其他配建要求则根据镇村企业的产业需求进行综合确定。商业服务业用地开发强度依照管控分类设定指标进行管控（详见附则</w:t>
      </w:r>
      <w:r>
        <w:rPr>
          <w:rFonts w:hint="eastAsia" w:ascii="Times New Roman" w:hAnsi="Times New Roman" w:eastAsia="仿宋_GB2312" w:cs="Times New Roman"/>
          <w:color w:val="000000" w:themeColor="text1"/>
          <w:sz w:val="30"/>
          <w:lang w:val="en-US" w:eastAsia="zh-CN"/>
          <w14:textFill>
            <w14:solidFill>
              <w14:schemeClr w14:val="tx1"/>
            </w14:solidFill>
          </w14:textFill>
        </w:rPr>
        <w:t>3</w:t>
      </w:r>
      <w:r>
        <w:rPr>
          <w:rFonts w:hint="eastAsia" w:ascii="Times New Roman" w:hAnsi="Times New Roman" w:eastAsia="仿宋_GB2312" w:cs="Times New Roman"/>
          <w:color w:val="000000" w:themeColor="text1"/>
          <w:sz w:val="30"/>
          <w14:textFill>
            <w14:solidFill>
              <w14:schemeClr w14:val="tx1"/>
            </w14:solidFill>
          </w14:textFill>
        </w:rPr>
        <w:t>）。</w:t>
      </w:r>
    </w:p>
    <w:p>
      <w:pPr>
        <w:spacing w:line="360" w:lineRule="auto"/>
        <w:ind w:firstLine="600" w:firstLineChars="200"/>
        <w:rPr>
          <w:rFonts w:ascii="Times New Roman" w:hAnsi="Times New Roman" w:eastAsia="仿宋_GB2312" w:cs="Times New Roman"/>
          <w:color w:val="000000" w:themeColor="text1"/>
          <w:sz w:val="30"/>
          <w14:textFill>
            <w14:solidFill>
              <w14:schemeClr w14:val="tx1"/>
            </w14:solidFill>
          </w14:textFill>
        </w:rPr>
      </w:pPr>
      <w:r>
        <w:rPr>
          <w:rFonts w:hint="eastAsia" w:ascii="Times New Roman" w:hAnsi="Times New Roman" w:eastAsia="仿宋_GB2312" w:cs="Times New Roman"/>
          <w:color w:val="000000" w:themeColor="text1"/>
          <w:sz w:val="30"/>
          <w14:textFill>
            <w14:solidFill>
              <w14:schemeClr w14:val="tx1"/>
            </w14:solidFill>
          </w14:textFill>
        </w:rPr>
        <w:t>（4）经营性建设用地调整应经村民小组确认，由村委会审查同意，经论证后逐级报县人民政府批准。村庄建设边界范围内，经营性用地（含商业、工业、仓储等用地）可以用于公共设施用地（含公共管理与公共服务、公用设施等用地）， 经营性用地和公共设施用地在各自类别内部可以相互调剂使用。</w:t>
      </w:r>
    </w:p>
    <w:p>
      <w:pPr>
        <w:ind w:firstLine="600" w:firstLineChars="200"/>
        <w:rPr>
          <w:rFonts w:ascii="Times New Roman" w:hAnsi="Times New Roman" w:eastAsia="仿宋_GB2312" w:cs="Times New Roman"/>
          <w:color w:val="000000" w:themeColor="text1"/>
          <w:sz w:val="30"/>
          <w14:textFill>
            <w14:solidFill>
              <w14:schemeClr w14:val="tx1"/>
            </w14:solidFill>
          </w14:textFill>
        </w:rPr>
      </w:pPr>
      <w:r>
        <w:rPr>
          <w:rFonts w:hint="eastAsia" w:ascii="Times New Roman" w:hAnsi="Times New Roman" w:eastAsia="仿宋_GB2312" w:cs="Times New Roman"/>
          <w:color w:val="000000" w:themeColor="text1"/>
          <w:sz w:val="30"/>
          <w14:textFill>
            <w14:solidFill>
              <w14:schemeClr w14:val="tx1"/>
            </w14:solidFill>
          </w14:textFill>
        </w:rPr>
        <w:t>2.农村住房</w:t>
      </w:r>
    </w:p>
    <w:p>
      <w:pPr>
        <w:ind w:firstLine="600" w:firstLineChars="200"/>
        <w:rPr>
          <w:rFonts w:ascii="Times New Roman" w:hAnsi="Times New Roman" w:eastAsia="仿宋_GB2312" w:cs="Times New Roman"/>
          <w:color w:val="000000" w:themeColor="text1"/>
          <w:sz w:val="30"/>
          <w14:textFill>
            <w14:solidFill>
              <w14:schemeClr w14:val="tx1"/>
            </w14:solidFill>
          </w14:textFill>
        </w:rPr>
      </w:pPr>
      <w:r>
        <w:rPr>
          <w:rFonts w:hint="eastAsia" w:ascii="Times New Roman" w:hAnsi="Times New Roman" w:eastAsia="仿宋_GB2312" w:cs="Times New Roman"/>
          <w:color w:val="000000" w:themeColor="text1"/>
          <w:sz w:val="30"/>
          <w14:textFill>
            <w14:solidFill>
              <w14:schemeClr w14:val="tx1"/>
            </w14:solidFill>
          </w14:textFill>
        </w:rPr>
        <w:t>（1）城镇开发边界外的村庄应依据《揭西县农村宅基地和住房建设管理暂行办法》的具体要求申请宅基地。农民建房要严格执行一户一宅标准，并应在村庄建设边界范围内选址，避开河道管理范围、洪涝灾害等危险区域，严格控制削坡建房。村民建房建筑层数不超过6层（含6层），建筑高度不大于24米，住宅建筑巷道之间应留足间距，以满足日照、通风、安全等方面的要求。农村建筑宜朝南向布置，鼓励采用坡屋顶。对因用地指标或者建设现状等客观条件限制无法满足上述间距要求的，至少应当满足消防安全的要求，并征得相邻村（居）民同意。村民建房应尽量体现潮汕或者客家特色，采用潮汕或者客家建筑样式，符合村庄整体景观风貌控制性要求。</w:t>
      </w:r>
    </w:p>
    <w:p>
      <w:pPr>
        <w:ind w:firstLine="600" w:firstLineChars="200"/>
        <w:rPr>
          <w:rFonts w:ascii="Times New Roman" w:hAnsi="Times New Roman" w:eastAsia="仿宋_GB2312" w:cs="Times New Roman"/>
          <w:color w:val="000000" w:themeColor="text1"/>
          <w:sz w:val="30"/>
          <w14:textFill>
            <w14:solidFill>
              <w14:schemeClr w14:val="tx1"/>
            </w14:solidFill>
          </w14:textFill>
        </w:rPr>
      </w:pPr>
      <w:r>
        <w:rPr>
          <w:rFonts w:hint="eastAsia" w:ascii="Times New Roman" w:hAnsi="Times New Roman" w:eastAsia="仿宋_GB2312" w:cs="Times New Roman"/>
          <w:color w:val="000000" w:themeColor="text1"/>
          <w:sz w:val="30"/>
          <w14:textFill>
            <w14:solidFill>
              <w14:schemeClr w14:val="tx1"/>
            </w14:solidFill>
          </w14:textFill>
        </w:rPr>
        <w:t>（2）村民住宅建设应当优先使用原有的宅基地、空闲地和未利用地，严格控制使用耕地。占用耕地建设住宅的，应当按国家和省的有关规定补充耕地。禁止村民在地质灾害危险区内建设住宅。</w:t>
      </w:r>
    </w:p>
    <w:p>
      <w:pPr>
        <w:ind w:firstLine="600" w:firstLineChars="200"/>
        <w:rPr>
          <w:rFonts w:ascii="Times New Roman" w:hAnsi="Times New Roman" w:eastAsia="仿宋_GB2312" w:cs="Times New Roman"/>
          <w:color w:val="000000" w:themeColor="text1"/>
          <w:sz w:val="30"/>
          <w14:textFill>
            <w14:solidFill>
              <w14:schemeClr w14:val="tx1"/>
            </w14:solidFill>
          </w14:textFill>
        </w:rPr>
      </w:pPr>
      <w:r>
        <w:rPr>
          <w:rFonts w:hint="eastAsia" w:ascii="Times New Roman" w:hAnsi="Times New Roman" w:eastAsia="仿宋_GB2312" w:cs="Times New Roman"/>
          <w:color w:val="000000" w:themeColor="text1"/>
          <w:sz w:val="30"/>
          <w14:textFill>
            <w14:solidFill>
              <w14:schemeClr w14:val="tx1"/>
            </w14:solidFill>
          </w14:textFill>
        </w:rPr>
        <w:t>（3）鼓励位于城镇开发边界外的村庄采取集体建房方式建设住房，满足人多地少地区的村民居住需求。依照市、县相关集中建房的要求，农民集中式住宅开发强度依照管控分类设定指标进行管控（详见附则</w:t>
      </w:r>
      <w:r>
        <w:rPr>
          <w:rFonts w:hint="eastAsia" w:ascii="Times New Roman" w:hAnsi="Times New Roman" w:eastAsia="仿宋_GB2312" w:cs="Times New Roman"/>
          <w:color w:val="000000" w:themeColor="text1"/>
          <w:sz w:val="30"/>
          <w:lang w:val="en-US" w:eastAsia="zh-CN"/>
          <w14:textFill>
            <w14:solidFill>
              <w14:schemeClr w14:val="tx1"/>
            </w14:solidFill>
          </w14:textFill>
        </w:rPr>
        <w:t>3</w:t>
      </w:r>
      <w:r>
        <w:rPr>
          <w:rFonts w:hint="eastAsia" w:ascii="Times New Roman" w:hAnsi="Times New Roman" w:eastAsia="仿宋_GB2312" w:cs="Times New Roman"/>
          <w:color w:val="000000" w:themeColor="text1"/>
          <w:sz w:val="30"/>
          <w14:textFill>
            <w14:solidFill>
              <w14:schemeClr w14:val="tx1"/>
            </w14:solidFill>
          </w14:textFill>
        </w:rPr>
        <w:t>），相关建设规模依据县政府及农业农村部门批准文件确定。停车位数不小于户均1.0个（配建停车位10%的充电设施或预留建设安装条件）。需配套微型消防站、垃圾分类收集点、公共厕所、电动自行车停放及安全充电空间等设施。鼓励配建老年人日间照料中心、共享书屋、快递点等公共配套设施。</w:t>
      </w:r>
    </w:p>
    <w:p>
      <w:pPr>
        <w:ind w:firstLine="600" w:firstLineChars="200"/>
        <w:rPr>
          <w:rFonts w:ascii="Times New Roman" w:hAnsi="Times New Roman" w:eastAsia="仿宋_GB2312" w:cs="Times New Roman"/>
          <w:color w:val="000000" w:themeColor="text1"/>
          <w:sz w:val="30"/>
          <w14:textFill>
            <w14:solidFill>
              <w14:schemeClr w14:val="tx1"/>
            </w14:solidFill>
          </w14:textFill>
        </w:rPr>
      </w:pPr>
      <w:r>
        <w:rPr>
          <w:rFonts w:hint="eastAsia" w:ascii="Times New Roman" w:hAnsi="Times New Roman" w:eastAsia="仿宋_GB2312" w:cs="Times New Roman"/>
          <w:color w:val="000000" w:themeColor="text1"/>
          <w:sz w:val="30"/>
          <w14:textFill>
            <w14:solidFill>
              <w14:schemeClr w14:val="tx1"/>
            </w14:solidFill>
          </w14:textFill>
        </w:rPr>
        <w:t>（4）村民住宅建设必须符合工程抗震设防要求，采取相应的抗震措施，保证建筑材料和施工质量，使住房达到应有的抗震性能；必须考虑防火分隔，设防火墙和防火间距，配备必要的消防设施；规范用电、用气、用水线路，确保线路安全、有序，沿道路两侧应设置排水、排洪管、沟、渠。</w:t>
      </w:r>
    </w:p>
    <w:p>
      <w:pPr>
        <w:ind w:firstLine="600" w:firstLineChars="200"/>
        <w:rPr>
          <w:rFonts w:ascii="Times New Roman" w:hAnsi="Times New Roman" w:eastAsia="仿宋_GB2312" w:cs="Times New Roman"/>
          <w:color w:val="000000" w:themeColor="text1"/>
          <w:sz w:val="30"/>
          <w14:textFill>
            <w14:solidFill>
              <w14:schemeClr w14:val="tx1"/>
            </w14:solidFill>
          </w14:textFill>
        </w:rPr>
      </w:pPr>
      <w:r>
        <w:rPr>
          <w:rFonts w:hint="eastAsia" w:ascii="Times New Roman" w:hAnsi="Times New Roman" w:eastAsia="仿宋_GB2312" w:cs="Times New Roman"/>
          <w:color w:val="000000" w:themeColor="text1"/>
          <w:sz w:val="30"/>
          <w14:textFill>
            <w14:solidFill>
              <w14:schemeClr w14:val="tx1"/>
            </w14:solidFill>
          </w14:textFill>
        </w:rPr>
        <w:t>（5）加强空心村、废弃宅基地等存量用地的利用，结合实际在原址上修缮、新建农房，缓解规划建设用地指标有限的情况。</w:t>
      </w:r>
    </w:p>
    <w:p>
      <w:pPr>
        <w:spacing w:line="360" w:lineRule="auto"/>
        <w:ind w:firstLine="600" w:firstLineChars="200"/>
        <w:rPr>
          <w:rFonts w:ascii="Times New Roman" w:hAnsi="Times New Roman" w:eastAsia="仿宋_GB2312" w:cs="Times New Roman"/>
          <w:color w:val="000000" w:themeColor="text1"/>
          <w:sz w:val="30"/>
          <w14:textFill>
            <w14:solidFill>
              <w14:schemeClr w14:val="tx1"/>
            </w14:solidFill>
          </w14:textFill>
        </w:rPr>
      </w:pPr>
      <w:r>
        <w:rPr>
          <w:rFonts w:hint="eastAsia" w:ascii="Times New Roman" w:hAnsi="Times New Roman" w:eastAsia="仿宋_GB2312" w:cs="Times New Roman"/>
          <w:color w:val="000000" w:themeColor="text1"/>
          <w:sz w:val="30"/>
          <w14:textFill>
            <w14:solidFill>
              <w14:schemeClr w14:val="tx1"/>
            </w14:solidFill>
          </w14:textFill>
        </w:rPr>
        <w:t>（6）农村村民建设住宅，应当在竣工后，依法进行房地一体不动产登记。如与上级有关规定相抵触的，以上级规定为准。</w:t>
      </w:r>
    </w:p>
    <w:p>
      <w:pPr>
        <w:ind w:firstLine="600" w:firstLineChars="200"/>
        <w:rPr>
          <w:rFonts w:ascii="Times New Roman" w:hAnsi="Times New Roman" w:eastAsia="仿宋_GB2312" w:cs="Times New Roman"/>
          <w:color w:val="000000" w:themeColor="text1"/>
          <w:sz w:val="30"/>
          <w14:textFill>
            <w14:solidFill>
              <w14:schemeClr w14:val="tx1"/>
            </w14:solidFill>
          </w14:textFill>
        </w:rPr>
      </w:pPr>
      <w:r>
        <w:rPr>
          <w:rFonts w:hint="eastAsia" w:ascii="Times New Roman" w:hAnsi="Times New Roman" w:eastAsia="仿宋_GB2312" w:cs="Times New Roman"/>
          <w:color w:val="000000" w:themeColor="text1"/>
          <w:sz w:val="30"/>
          <w14:textFill>
            <w14:solidFill>
              <w14:schemeClr w14:val="tx1"/>
            </w14:solidFill>
          </w14:textFill>
        </w:rPr>
        <w:t>3.基础设施和公共服务设施</w:t>
      </w:r>
    </w:p>
    <w:p>
      <w:pPr>
        <w:ind w:firstLine="600" w:firstLineChars="200"/>
        <w:rPr>
          <w:rFonts w:ascii="Times New Roman" w:hAnsi="Times New Roman" w:eastAsia="仿宋_GB2312" w:cs="Times New Roman"/>
          <w:color w:val="000000" w:themeColor="text1"/>
          <w:sz w:val="30"/>
          <w14:textFill>
            <w14:solidFill>
              <w14:schemeClr w14:val="tx1"/>
            </w14:solidFill>
          </w14:textFill>
        </w:rPr>
      </w:pPr>
      <w:r>
        <w:rPr>
          <w:rFonts w:hint="eastAsia" w:ascii="Times New Roman" w:hAnsi="Times New Roman" w:eastAsia="仿宋_GB2312" w:cs="Times New Roman"/>
          <w:color w:val="000000" w:themeColor="text1"/>
          <w:sz w:val="30"/>
          <w14:textFill>
            <w14:solidFill>
              <w14:schemeClr w14:val="tx1"/>
            </w14:solidFill>
          </w14:textFill>
        </w:rPr>
        <w:t>（1）明确公共基础和服务设施建设要求。村级公共服务中心（含文化、体育、医疗卫生等设施）宜布置在位置适中、内外联系方便的地段，方便村民使用。乡村公共设施应节约集约用地，充分利用原有闲置宅基地、村内空闲地、村周边的丘陵坡地。</w:t>
      </w:r>
    </w:p>
    <w:p>
      <w:pPr>
        <w:ind w:firstLine="600" w:firstLineChars="200"/>
        <w:rPr>
          <w:rFonts w:ascii="Times New Roman" w:hAnsi="Times New Roman" w:eastAsia="仿宋_GB2312" w:cs="Times New Roman"/>
          <w:color w:val="000000" w:themeColor="text1"/>
          <w:sz w:val="30"/>
          <w14:textFill>
            <w14:solidFill>
              <w14:schemeClr w14:val="tx1"/>
            </w14:solidFill>
          </w14:textFill>
        </w:rPr>
      </w:pPr>
      <w:r>
        <w:rPr>
          <w:rFonts w:hint="eastAsia" w:ascii="Times New Roman" w:hAnsi="Times New Roman" w:eastAsia="仿宋_GB2312" w:cs="Times New Roman"/>
          <w:color w:val="000000" w:themeColor="text1"/>
          <w:sz w:val="30"/>
          <w14:textFill>
            <w14:solidFill>
              <w14:schemeClr w14:val="tx1"/>
            </w14:solidFill>
          </w14:textFill>
        </w:rPr>
        <w:t>按照城乡基本公共服务均等化要求和乡村生活圈理念，充分结合各村村民生产生活方式，满足农村公共服务设施用地和基础设施的建设要求。重点保障综合服务站、基层综合性文化服务中心、卫生室、养老和教育等公共服务设施用地和垃圾收集点、公厕、污水处理设施等基础设施用地。公共服务设施用地宜相对集中布置，在满足使用要求和建设规范的前提下，鼓励乡村公共管理、托幼、养老、医疗等设施空间复合使用。</w:t>
      </w:r>
    </w:p>
    <w:p>
      <w:pPr>
        <w:ind w:firstLine="600" w:firstLineChars="200"/>
        <w:rPr>
          <w:rFonts w:ascii="Times New Roman" w:hAnsi="Times New Roman" w:eastAsia="仿宋_GB2312" w:cs="Times New Roman"/>
          <w:color w:val="000000" w:themeColor="text1"/>
          <w:sz w:val="30"/>
          <w14:textFill>
            <w14:solidFill>
              <w14:schemeClr w14:val="tx1"/>
            </w14:solidFill>
          </w14:textFill>
        </w:rPr>
      </w:pPr>
      <w:r>
        <w:rPr>
          <w:rFonts w:hint="eastAsia" w:ascii="Times New Roman" w:hAnsi="Times New Roman" w:eastAsia="仿宋_GB2312" w:cs="Times New Roman"/>
          <w:color w:val="000000" w:themeColor="text1"/>
          <w:sz w:val="30"/>
          <w14:textFill>
            <w14:solidFill>
              <w14:schemeClr w14:val="tx1"/>
            </w14:solidFill>
          </w14:textFill>
        </w:rPr>
        <w:t>（2）公共服务设施用地开发强度依照管控分类设定指标进行管控（详见附则</w:t>
      </w:r>
      <w:r>
        <w:rPr>
          <w:rFonts w:hint="eastAsia" w:ascii="Times New Roman" w:hAnsi="Times New Roman" w:eastAsia="仿宋_GB2312" w:cs="Times New Roman"/>
          <w:color w:val="000000" w:themeColor="text1"/>
          <w:sz w:val="30"/>
          <w:lang w:val="en-US" w:eastAsia="zh-CN"/>
          <w14:textFill>
            <w14:solidFill>
              <w14:schemeClr w14:val="tx1"/>
            </w14:solidFill>
          </w14:textFill>
        </w:rPr>
        <w:t>3</w:t>
      </w:r>
      <w:r>
        <w:rPr>
          <w:rFonts w:hint="eastAsia" w:ascii="Times New Roman" w:hAnsi="Times New Roman" w:eastAsia="仿宋_GB2312" w:cs="Times New Roman"/>
          <w:color w:val="000000" w:themeColor="text1"/>
          <w:sz w:val="30"/>
          <w14:textFill>
            <w14:solidFill>
              <w14:schemeClr w14:val="tx1"/>
            </w14:solidFill>
          </w14:textFill>
        </w:rPr>
        <w:t>）。综合服务站、基层综合性文化服务中心、卫生室、养老和教育等属于公共服务设施用地，村民不得随意占用。</w:t>
      </w:r>
    </w:p>
    <w:p>
      <w:pPr>
        <w:ind w:firstLine="600" w:firstLineChars="200"/>
        <w:rPr>
          <w:rFonts w:ascii="Times New Roman" w:hAnsi="Times New Roman" w:eastAsia="仿宋_GB2312" w:cs="Times New Roman"/>
          <w:color w:val="000000" w:themeColor="text1"/>
          <w:sz w:val="30"/>
          <w14:textFill>
            <w14:solidFill>
              <w14:schemeClr w14:val="tx1"/>
            </w14:solidFill>
          </w14:textFill>
        </w:rPr>
      </w:pPr>
      <w:r>
        <w:rPr>
          <w:rFonts w:hint="eastAsia" w:ascii="Times New Roman" w:hAnsi="Times New Roman" w:eastAsia="仿宋_GB2312" w:cs="Times New Roman"/>
          <w:color w:val="000000" w:themeColor="text1"/>
          <w:sz w:val="30"/>
          <w14:textFill>
            <w14:solidFill>
              <w14:schemeClr w14:val="tx1"/>
            </w14:solidFill>
          </w14:textFill>
        </w:rPr>
        <w:t>（3）市政公用设施的用地面积、与相邻建筑的间距等应当符合国家、省、市相关技术规章、规范及标准要求。开发强度依照管控分类设定指标进行管控（详见附则</w:t>
      </w:r>
      <w:r>
        <w:rPr>
          <w:rFonts w:hint="eastAsia" w:ascii="Times New Roman" w:hAnsi="Times New Roman" w:eastAsia="仿宋_GB2312" w:cs="Times New Roman"/>
          <w:color w:val="000000" w:themeColor="text1"/>
          <w:sz w:val="30"/>
          <w:lang w:val="en-US" w:eastAsia="zh-CN"/>
          <w14:textFill>
            <w14:solidFill>
              <w14:schemeClr w14:val="tx1"/>
            </w14:solidFill>
          </w14:textFill>
        </w:rPr>
        <w:t>3</w:t>
      </w:r>
      <w:r>
        <w:rPr>
          <w:rFonts w:hint="eastAsia" w:ascii="Times New Roman" w:hAnsi="Times New Roman" w:eastAsia="仿宋_GB2312" w:cs="Times New Roman"/>
          <w:color w:val="000000" w:themeColor="text1"/>
          <w:sz w:val="30"/>
          <w14:textFill>
            <w14:solidFill>
              <w14:schemeClr w14:val="tx1"/>
            </w14:solidFill>
          </w14:textFill>
        </w:rPr>
        <w:t>）</w:t>
      </w:r>
      <w:r>
        <w:rPr>
          <w:rFonts w:hint="eastAsia" w:ascii="Times New Roman" w:hAnsi="Times New Roman" w:eastAsia="仿宋_GB2312" w:cs="Times New Roman"/>
          <w:color w:val="000000" w:themeColor="text1"/>
          <w:sz w:val="30"/>
          <w:lang w:eastAsia="zh-CN"/>
          <w14:textFill>
            <w14:solidFill>
              <w14:schemeClr w14:val="tx1"/>
            </w14:solidFill>
          </w14:textFill>
        </w:rPr>
        <w:t>。</w:t>
      </w:r>
    </w:p>
    <w:p>
      <w:pPr>
        <w:spacing w:line="360" w:lineRule="auto"/>
        <w:ind w:firstLine="600" w:firstLineChars="200"/>
        <w:rPr>
          <w:rFonts w:ascii="Times New Roman" w:hAnsi="Times New Roman" w:eastAsia="仿宋_GB2312" w:cs="Times New Roman"/>
          <w:color w:val="000000" w:themeColor="text1"/>
          <w:sz w:val="30"/>
          <w14:textFill>
            <w14:solidFill>
              <w14:schemeClr w14:val="tx1"/>
            </w14:solidFill>
          </w14:textFill>
        </w:rPr>
      </w:pPr>
      <w:r>
        <w:rPr>
          <w:rFonts w:hint="eastAsia" w:ascii="Times New Roman" w:hAnsi="Times New Roman" w:eastAsia="仿宋_GB2312" w:cs="Times New Roman"/>
          <w:color w:val="000000" w:themeColor="text1"/>
          <w:sz w:val="30"/>
          <w14:textFill>
            <w14:solidFill>
              <w14:schemeClr w14:val="tx1"/>
            </w14:solidFill>
          </w14:textFill>
        </w:rPr>
        <w:t>（4）河道、河滩边形成的通道及各等级道路路边2米，为公共设施用地和集体用地，任何村民不得侵占。</w:t>
      </w:r>
    </w:p>
    <w:p>
      <w:pPr>
        <w:ind w:firstLine="600" w:firstLineChars="200"/>
        <w:rPr>
          <w:rFonts w:ascii="Times New Roman" w:hAnsi="Times New Roman" w:eastAsia="仿宋_GB2312" w:cs="Times New Roman"/>
          <w:color w:val="000000" w:themeColor="text1"/>
          <w:sz w:val="30"/>
          <w14:textFill>
            <w14:solidFill>
              <w14:schemeClr w14:val="tx1"/>
            </w14:solidFill>
          </w14:textFill>
        </w:rPr>
      </w:pPr>
      <w:r>
        <w:rPr>
          <w:rFonts w:hint="eastAsia" w:ascii="Times New Roman" w:hAnsi="Times New Roman" w:eastAsia="仿宋_GB2312" w:cs="Times New Roman"/>
          <w:color w:val="000000" w:themeColor="text1"/>
          <w:sz w:val="30"/>
          <w14:textFill>
            <w14:solidFill>
              <w14:schemeClr w14:val="tx1"/>
            </w14:solidFill>
          </w14:textFill>
        </w:rPr>
        <w:t>4.建设退距</w:t>
      </w:r>
    </w:p>
    <w:p>
      <w:pPr>
        <w:ind w:firstLine="600" w:firstLineChars="200"/>
        <w:rPr>
          <w:rFonts w:ascii="Times New Roman" w:hAnsi="Times New Roman" w:eastAsia="仿宋_GB2312" w:cs="Times New Roman"/>
          <w:color w:val="FF0000"/>
          <w:sz w:val="30"/>
        </w:rPr>
      </w:pPr>
      <w:r>
        <w:rPr>
          <w:rFonts w:hint="eastAsia" w:ascii="Times New Roman" w:hAnsi="Times New Roman" w:eastAsia="仿宋_GB2312" w:cs="Times New Roman"/>
          <w:color w:val="000000" w:themeColor="text1"/>
          <w:sz w:val="30"/>
          <w14:textFill>
            <w14:solidFill>
              <w14:schemeClr w14:val="tx1"/>
            </w14:solidFill>
          </w14:textFill>
        </w:rPr>
        <w:t>合理控制建设退距。高速公路、铁路、公路、架空电力线路等交通及市政要素周边开展的各类建设应遵循有关法律法规条例的规定与相关主管部门的要求进行建筑退让。新建、改建、扩建建筑物与用地界线、城镇道路、公路、河道、绿地与开敞空间、地面轨道交通相邻时，其建筑控制线退让距离，必须综合考虑消防、日照、抗震、防汛、防爆、交通安全以及水源保护、环境保护、电力保护、城镇景观等方面的要求。</w:t>
      </w:r>
    </w:p>
    <w:p>
      <w:pPr>
        <w:spacing w:line="360" w:lineRule="auto"/>
        <w:ind w:firstLine="600" w:firstLineChars="200"/>
        <w:rPr>
          <w:rFonts w:ascii="Times New Roman" w:hAnsi="Times New Roman" w:eastAsia="仿宋_GB2312" w:cs="Times New Roman"/>
          <w:color w:val="000000" w:themeColor="text1"/>
          <w:sz w:val="30"/>
          <w14:textFill>
            <w14:solidFill>
              <w14:schemeClr w14:val="tx1"/>
            </w14:solidFill>
          </w14:textFill>
        </w:rPr>
      </w:pPr>
      <w:r>
        <w:rPr>
          <w:rFonts w:hint="eastAsia" w:ascii="Times New Roman" w:hAnsi="Times New Roman" w:eastAsia="仿宋_GB2312" w:cs="Times New Roman"/>
          <w:color w:val="000000" w:themeColor="text1"/>
          <w:sz w:val="30"/>
          <w14:textFill>
            <w14:solidFill>
              <w14:schemeClr w14:val="tx1"/>
            </w14:solidFill>
          </w14:textFill>
        </w:rPr>
        <w:t>沿穿越村庄的公路两侧新建农村建筑，应满足《公路安全保护条例》要求。临近村庄道路的地上建筑退让道路红线应满足《建筑防火设计规范 GB50016-2022》等相关</w:t>
      </w:r>
      <w:r>
        <w:rPr>
          <w:rFonts w:hint="eastAsia" w:ascii="Times New Roman" w:hAnsi="Times New Roman" w:eastAsia="仿宋_GB2312" w:cs="Times New Roman"/>
          <w:color w:val="000000" w:themeColor="text1"/>
          <w:sz w:val="30"/>
          <w:lang w:val="en-US" w:eastAsia="zh-CN"/>
          <w14:textFill>
            <w14:solidFill>
              <w14:schemeClr w14:val="tx1"/>
            </w14:solidFill>
          </w14:textFill>
        </w:rPr>
        <w:t>规定</w:t>
      </w:r>
      <w:r>
        <w:rPr>
          <w:rFonts w:hint="eastAsia" w:ascii="Times New Roman" w:hAnsi="Times New Roman" w:eastAsia="仿宋_GB2312" w:cs="Times New Roman"/>
          <w:color w:val="000000" w:themeColor="text1"/>
          <w:sz w:val="30"/>
          <w14:textFill>
            <w14:solidFill>
              <w14:schemeClr w14:val="tx1"/>
            </w14:solidFill>
          </w14:textFill>
        </w:rPr>
        <w:t>要求；同时须留出符合村庄消防安全的距离及通道。阳台、屋檐等出挑物不应影响相邻房屋的正常通风、采光和正常使用。</w:t>
      </w:r>
    </w:p>
    <w:p>
      <w:pPr>
        <w:ind w:firstLine="600" w:firstLineChars="200"/>
        <w:rPr>
          <w:rFonts w:ascii="Times New Roman" w:hAnsi="Times New Roman" w:eastAsia="仿宋_GB2312" w:cs="Times New Roman"/>
          <w:color w:val="000000" w:themeColor="text1"/>
          <w:sz w:val="30"/>
          <w14:textFill>
            <w14:solidFill>
              <w14:schemeClr w14:val="tx1"/>
            </w14:solidFill>
          </w14:textFill>
        </w:rPr>
      </w:pPr>
      <w:r>
        <w:rPr>
          <w:rFonts w:hint="eastAsia" w:ascii="Times New Roman" w:hAnsi="Times New Roman" w:eastAsia="仿宋_GB2312" w:cs="Times New Roman"/>
          <w:color w:val="000000" w:themeColor="text1"/>
          <w:sz w:val="30"/>
          <w14:textFill>
            <w14:solidFill>
              <w14:schemeClr w14:val="tx1"/>
            </w14:solidFill>
          </w14:textFill>
        </w:rPr>
        <w:t>5.</w:t>
      </w:r>
      <w:r>
        <w:rPr>
          <w:rFonts w:hint="eastAsia" w:ascii="Times New Roman" w:hAnsi="Times New Roman" w:eastAsia="仿宋_GB2312" w:cs="Times New Roman"/>
          <w:color w:val="000000" w:themeColor="text1"/>
          <w:sz w:val="30"/>
          <w14:textFill>
            <w14:solidFill>
              <w14:schemeClr w14:val="tx1"/>
            </w14:solidFill>
          </w14:textFill>
        </w:rPr>
        <w:tab/>
      </w:r>
      <w:r>
        <w:rPr>
          <w:rFonts w:hint="eastAsia" w:ascii="Times New Roman" w:hAnsi="Times New Roman" w:eastAsia="仿宋_GB2312" w:cs="Times New Roman"/>
          <w:color w:val="000000" w:themeColor="text1"/>
          <w:sz w:val="30"/>
          <w14:textFill>
            <w14:solidFill>
              <w14:schemeClr w14:val="tx1"/>
            </w14:solidFill>
          </w14:textFill>
        </w:rPr>
        <w:t>乡村建设风貌</w:t>
      </w:r>
    </w:p>
    <w:p>
      <w:pPr>
        <w:ind w:firstLine="600" w:firstLineChars="200"/>
        <w:rPr>
          <w:rFonts w:ascii="Times New Roman" w:hAnsi="Times New Roman" w:eastAsia="仿宋_GB2312" w:cs="Times New Roman"/>
          <w:color w:val="000000" w:themeColor="text1"/>
          <w:sz w:val="30"/>
          <w14:textFill>
            <w14:solidFill>
              <w14:schemeClr w14:val="tx1"/>
            </w14:solidFill>
          </w14:textFill>
        </w:rPr>
      </w:pPr>
      <w:r>
        <w:rPr>
          <w:rFonts w:hint="eastAsia" w:ascii="Times New Roman" w:hAnsi="Times New Roman" w:eastAsia="仿宋_GB2312" w:cs="Times New Roman"/>
          <w:color w:val="000000" w:themeColor="text1"/>
          <w:sz w:val="30"/>
          <w14:textFill>
            <w14:solidFill>
              <w14:schemeClr w14:val="tx1"/>
            </w14:solidFill>
          </w14:textFill>
        </w:rPr>
        <w:t>提升乡村风貌建设管理。鼓励乡村风貌管控按照《广东省乡村风貌修复提升指引（试行）》执行。农村住房建设鼓励以坡屋顶、人字形山墙为主要建筑形式。村集体建房、村集体经营性建设用地、村庄公共管理与公共服务用地的建筑风貌宜与本村宅基地建设形象相协调。新建农房风貌鼓励依据《广东省农房设计方案图集》、《揭阳市农村住房建设管控和风貌提升指导手册(试行)》等管控要求进一步完善。</w:t>
      </w:r>
    </w:p>
    <w:p>
      <w:pPr>
        <w:ind w:firstLine="600" w:firstLineChars="200"/>
        <w:rPr>
          <w:rFonts w:ascii="Times New Roman" w:hAnsi="Times New Roman" w:eastAsia="仿宋_GB2312" w:cs="Times New Roman"/>
          <w:color w:val="000000" w:themeColor="text1"/>
          <w:sz w:val="30"/>
          <w14:textFill>
            <w14:solidFill>
              <w14:schemeClr w14:val="tx1"/>
            </w14:solidFill>
          </w14:textFill>
        </w:rPr>
      </w:pPr>
      <w:r>
        <w:rPr>
          <w:rFonts w:hint="eastAsia" w:ascii="Times New Roman" w:hAnsi="Times New Roman" w:eastAsia="仿宋_GB2312" w:cs="Times New Roman"/>
          <w:color w:val="000000" w:themeColor="text1"/>
          <w:sz w:val="30"/>
          <w14:textFill>
            <w14:solidFill>
              <w14:schemeClr w14:val="tx1"/>
            </w14:solidFill>
          </w14:textFill>
        </w:rPr>
        <w:t>（1）农房整治</w:t>
      </w:r>
    </w:p>
    <w:p>
      <w:pPr>
        <w:ind w:firstLine="600" w:firstLineChars="200"/>
        <w:rPr>
          <w:rFonts w:ascii="Times New Roman" w:hAnsi="Times New Roman" w:eastAsia="仿宋_GB2312" w:cs="Times New Roman"/>
          <w:color w:val="000000" w:themeColor="text1"/>
          <w:sz w:val="30"/>
          <w14:textFill>
            <w14:solidFill>
              <w14:schemeClr w14:val="tx1"/>
            </w14:solidFill>
          </w14:textFill>
        </w:rPr>
      </w:pPr>
      <w:r>
        <w:rPr>
          <w:rFonts w:hint="eastAsia" w:ascii="Times New Roman" w:hAnsi="Times New Roman" w:eastAsia="仿宋_GB2312" w:cs="Times New Roman"/>
          <w:color w:val="000000" w:themeColor="text1"/>
          <w:sz w:val="30"/>
          <w14:textFill>
            <w14:solidFill>
              <w14:schemeClr w14:val="tx1"/>
            </w14:solidFill>
          </w14:textFill>
        </w:rPr>
        <w:t>规划考虑到近期实施操作可行性，综合考虑市政基础设施配套难度、村民意愿等，明确农房的整治规划方式分为保留、整修、拆除三个类型，具体整治措施参照相关专项规划和政策执行。</w:t>
      </w:r>
    </w:p>
    <w:p>
      <w:pPr>
        <w:ind w:firstLine="600" w:firstLineChars="200"/>
        <w:rPr>
          <w:rFonts w:ascii="Times New Roman" w:hAnsi="Times New Roman" w:eastAsia="仿宋_GB2312" w:cs="Times New Roman"/>
          <w:color w:val="000000" w:themeColor="text1"/>
          <w:sz w:val="30"/>
          <w14:textFill>
            <w14:solidFill>
              <w14:schemeClr w14:val="tx1"/>
            </w14:solidFill>
          </w14:textFill>
        </w:rPr>
      </w:pPr>
      <w:r>
        <w:rPr>
          <w:rFonts w:hint="eastAsia" w:ascii="Times New Roman" w:hAnsi="Times New Roman" w:eastAsia="仿宋_GB2312" w:cs="Times New Roman"/>
          <w:color w:val="000000" w:themeColor="text1"/>
          <w:sz w:val="30"/>
          <w14:textFill>
            <w14:solidFill>
              <w14:schemeClr w14:val="tx1"/>
            </w14:solidFill>
          </w14:textFill>
        </w:rPr>
        <w:t>（2）风貌管理</w:t>
      </w:r>
    </w:p>
    <w:p>
      <w:pPr>
        <w:ind w:firstLine="600" w:firstLineChars="200"/>
        <w:rPr>
          <w:rFonts w:ascii="Times New Roman" w:hAnsi="Times New Roman" w:eastAsia="仿宋_GB2312" w:cs="Times New Roman"/>
          <w:color w:val="000000" w:themeColor="text1"/>
          <w:sz w:val="30"/>
          <w14:textFill>
            <w14:solidFill>
              <w14:schemeClr w14:val="tx1"/>
            </w14:solidFill>
          </w14:textFill>
        </w:rPr>
      </w:pPr>
      <w:r>
        <w:rPr>
          <w:rFonts w:hint="eastAsia" w:ascii="Times New Roman" w:hAnsi="Times New Roman" w:eastAsia="仿宋_GB2312" w:cs="Times New Roman"/>
          <w:color w:val="000000" w:themeColor="text1"/>
          <w:sz w:val="30"/>
          <w14:textFill>
            <w14:solidFill>
              <w14:schemeClr w14:val="tx1"/>
            </w14:solidFill>
          </w14:textFill>
        </w:rPr>
        <w:t>①色彩风格指引</w:t>
      </w:r>
    </w:p>
    <w:p>
      <w:pPr>
        <w:ind w:firstLine="600" w:firstLineChars="200"/>
        <w:rPr>
          <w:rFonts w:ascii="Times New Roman" w:hAnsi="Times New Roman" w:eastAsia="仿宋_GB2312" w:cs="Times New Roman"/>
          <w:color w:val="000000" w:themeColor="text1"/>
          <w:sz w:val="30"/>
          <w14:textFill>
            <w14:solidFill>
              <w14:schemeClr w14:val="tx1"/>
            </w14:solidFill>
          </w14:textFill>
        </w:rPr>
      </w:pPr>
      <w:r>
        <w:rPr>
          <w:rFonts w:hint="eastAsia" w:ascii="Times New Roman" w:hAnsi="Times New Roman" w:eastAsia="仿宋_GB2312" w:cs="Times New Roman"/>
          <w:color w:val="000000" w:themeColor="text1"/>
          <w:sz w:val="30"/>
          <w14:textFill>
            <w14:solidFill>
              <w14:schemeClr w14:val="tx1"/>
            </w14:solidFill>
          </w14:textFill>
        </w:rPr>
        <w:t>a.</w:t>
      </w:r>
      <w:r>
        <w:rPr>
          <w:rFonts w:hint="eastAsia" w:ascii="Times New Roman" w:hAnsi="Times New Roman" w:eastAsia="仿宋_GB2312" w:cs="Times New Roman"/>
          <w:color w:val="000000" w:themeColor="text1"/>
          <w:sz w:val="30"/>
          <w14:textFill>
            <w14:solidFill>
              <w14:schemeClr w14:val="tx1"/>
            </w14:solidFill>
          </w14:textFill>
        </w:rPr>
        <w:tab/>
      </w:r>
      <w:r>
        <w:rPr>
          <w:rFonts w:hint="eastAsia" w:ascii="Times New Roman" w:hAnsi="Times New Roman" w:eastAsia="仿宋_GB2312" w:cs="Times New Roman"/>
          <w:color w:val="000000" w:themeColor="text1"/>
          <w:sz w:val="30"/>
          <w14:textFill>
            <w14:solidFill>
              <w14:schemeClr w14:val="tx1"/>
            </w14:solidFill>
          </w14:textFill>
        </w:rPr>
        <w:t>突出民居建筑的自然美原则</w:t>
      </w:r>
    </w:p>
    <w:p>
      <w:pPr>
        <w:ind w:firstLine="600" w:firstLineChars="200"/>
        <w:rPr>
          <w:rFonts w:ascii="Times New Roman" w:hAnsi="Times New Roman" w:eastAsia="仿宋_GB2312" w:cs="Times New Roman"/>
          <w:color w:val="000000" w:themeColor="text1"/>
          <w:sz w:val="30"/>
          <w14:textFill>
            <w14:solidFill>
              <w14:schemeClr w14:val="tx1"/>
            </w14:solidFill>
          </w14:textFill>
        </w:rPr>
      </w:pPr>
      <w:r>
        <w:rPr>
          <w:rFonts w:hint="eastAsia" w:ascii="Times New Roman" w:hAnsi="Times New Roman" w:eastAsia="仿宋_GB2312" w:cs="Times New Roman"/>
          <w:color w:val="000000" w:themeColor="text1"/>
          <w:sz w:val="30"/>
          <w14:textFill>
            <w14:solidFill>
              <w14:schemeClr w14:val="tx1"/>
            </w14:solidFill>
          </w14:textFill>
        </w:rPr>
        <w:t>规划尽可能的保护突出自然色彩，使建筑人工色彩从属于自然色彩、融入自然色彩之中。</w:t>
      </w:r>
    </w:p>
    <w:p>
      <w:pPr>
        <w:ind w:firstLine="600" w:firstLineChars="200"/>
        <w:rPr>
          <w:rFonts w:ascii="Times New Roman" w:hAnsi="Times New Roman" w:eastAsia="仿宋_GB2312" w:cs="Times New Roman"/>
          <w:color w:val="000000" w:themeColor="text1"/>
          <w:sz w:val="30"/>
          <w14:textFill>
            <w14:solidFill>
              <w14:schemeClr w14:val="tx1"/>
            </w14:solidFill>
          </w14:textFill>
        </w:rPr>
      </w:pPr>
      <w:r>
        <w:rPr>
          <w:rFonts w:hint="eastAsia" w:ascii="Times New Roman" w:hAnsi="Times New Roman" w:eastAsia="仿宋_GB2312" w:cs="Times New Roman"/>
          <w:color w:val="000000" w:themeColor="text1"/>
          <w:sz w:val="30"/>
          <w14:textFill>
            <w14:solidFill>
              <w14:schemeClr w14:val="tx1"/>
            </w14:solidFill>
          </w14:textFill>
        </w:rPr>
        <w:t>b.突出民居建筑的地方文化特色</w:t>
      </w:r>
    </w:p>
    <w:p>
      <w:pPr>
        <w:ind w:firstLine="600" w:firstLineChars="200"/>
        <w:rPr>
          <w:rFonts w:ascii="Times New Roman" w:hAnsi="Times New Roman" w:eastAsia="仿宋_GB2312" w:cs="Times New Roman"/>
          <w:color w:val="000000" w:themeColor="text1"/>
          <w:sz w:val="30"/>
          <w14:textFill>
            <w14:solidFill>
              <w14:schemeClr w14:val="tx1"/>
            </w14:solidFill>
          </w14:textFill>
        </w:rPr>
      </w:pPr>
      <w:r>
        <w:rPr>
          <w:rFonts w:hint="eastAsia" w:ascii="Times New Roman" w:hAnsi="Times New Roman" w:eastAsia="仿宋_GB2312" w:cs="Times New Roman"/>
          <w:color w:val="000000" w:themeColor="text1"/>
          <w:sz w:val="30"/>
          <w14:textFill>
            <w14:solidFill>
              <w14:schemeClr w14:val="tx1"/>
            </w14:solidFill>
          </w14:textFill>
        </w:rPr>
        <w:t>珍视色彩的地方性，注重本地传统文脉的延续，加强新农村民居建筑的识别性，用合理的色彩规划来体现新农村民居建筑的地方特色和文化气质。</w:t>
      </w:r>
    </w:p>
    <w:p>
      <w:pPr>
        <w:ind w:firstLine="600" w:firstLineChars="200"/>
        <w:rPr>
          <w:rFonts w:ascii="Times New Roman" w:hAnsi="Times New Roman" w:eastAsia="仿宋_GB2312" w:cs="Times New Roman"/>
          <w:color w:val="000000" w:themeColor="text1"/>
          <w:sz w:val="30"/>
          <w14:textFill>
            <w14:solidFill>
              <w14:schemeClr w14:val="tx1"/>
            </w14:solidFill>
          </w14:textFill>
        </w:rPr>
      </w:pPr>
      <w:r>
        <w:rPr>
          <w:rFonts w:hint="eastAsia" w:ascii="Times New Roman" w:hAnsi="Times New Roman" w:eastAsia="仿宋_GB2312" w:cs="Times New Roman"/>
          <w:color w:val="000000" w:themeColor="text1"/>
          <w:sz w:val="30"/>
          <w14:textFill>
            <w14:solidFill>
              <w14:schemeClr w14:val="tx1"/>
            </w14:solidFill>
          </w14:textFill>
        </w:rPr>
        <w:t>建筑选材建议以传统青砖灰瓦为色彩基调，选取青灰相近色系材质，辅助色系以褐色、浅黄等自然材质为主。</w:t>
      </w:r>
    </w:p>
    <w:p>
      <w:pPr>
        <w:ind w:firstLine="600" w:firstLineChars="200"/>
        <w:rPr>
          <w:rFonts w:ascii="Times New Roman" w:hAnsi="Times New Roman" w:eastAsia="仿宋_GB2312" w:cs="Times New Roman"/>
          <w:color w:val="000000" w:themeColor="text1"/>
          <w:sz w:val="30"/>
          <w14:textFill>
            <w14:solidFill>
              <w14:schemeClr w14:val="tx1"/>
            </w14:solidFill>
          </w14:textFill>
        </w:rPr>
      </w:pPr>
      <w:r>
        <w:rPr>
          <w:rFonts w:hint="eastAsia" w:ascii="Times New Roman" w:hAnsi="Times New Roman" w:eastAsia="仿宋_GB2312" w:cs="Times New Roman"/>
          <w:color w:val="000000" w:themeColor="text1"/>
          <w:sz w:val="30"/>
          <w14:textFill>
            <w14:solidFill>
              <w14:schemeClr w14:val="tx1"/>
            </w14:solidFill>
          </w14:textFill>
        </w:rPr>
        <w:t>②材质选取指引</w:t>
      </w:r>
    </w:p>
    <w:p>
      <w:pPr>
        <w:ind w:firstLine="600" w:firstLineChars="200"/>
        <w:rPr>
          <w:rFonts w:ascii="Times New Roman" w:hAnsi="Times New Roman" w:eastAsia="仿宋_GB2312" w:cs="Times New Roman"/>
          <w:color w:val="000000" w:themeColor="text1"/>
          <w:sz w:val="30"/>
          <w14:textFill>
            <w14:solidFill>
              <w14:schemeClr w14:val="tx1"/>
            </w14:solidFill>
          </w14:textFill>
        </w:rPr>
      </w:pPr>
      <w:r>
        <w:rPr>
          <w:rFonts w:hint="eastAsia" w:ascii="Times New Roman" w:hAnsi="Times New Roman" w:eastAsia="仿宋_GB2312" w:cs="Times New Roman"/>
          <w:color w:val="000000" w:themeColor="text1"/>
          <w:sz w:val="30"/>
          <w14:textFill>
            <w14:solidFill>
              <w14:schemeClr w14:val="tx1"/>
            </w14:solidFill>
          </w14:textFill>
        </w:rPr>
        <w:t>考虑到当地的普遍做法和村民经济实力，墙体建议以空心砖等新工艺墙体材料取代普通</w:t>
      </w:r>
      <w:r>
        <w:rPr>
          <w:rFonts w:hint="eastAsia" w:ascii="Times New Roman" w:hAnsi="Times New Roman" w:eastAsia="仿宋_GB2312" w:cs="Times New Roman"/>
          <w:color w:val="000000" w:themeColor="text1"/>
          <w:sz w:val="30"/>
          <w:lang w:val="en-US" w:eastAsia="zh-CN"/>
          <w14:textFill>
            <w14:solidFill>
              <w14:schemeClr w14:val="tx1"/>
            </w14:solidFill>
          </w14:textFill>
        </w:rPr>
        <w:t>砖</w:t>
      </w:r>
      <w:r>
        <w:rPr>
          <w:rFonts w:hint="eastAsia" w:ascii="Times New Roman" w:hAnsi="Times New Roman" w:eastAsia="仿宋_GB2312" w:cs="Times New Roman"/>
          <w:color w:val="000000" w:themeColor="text1"/>
          <w:sz w:val="30"/>
          <w14:textFill>
            <w14:solidFill>
              <w14:schemeClr w14:val="tx1"/>
            </w14:solidFill>
          </w14:textFill>
        </w:rPr>
        <w:t>，从而降低粘土需求量，降低环境和经济成本。同时保留石料、木材等地方传统建筑材料。屋面材质建议推广水泥类瓦材等高分子复合瓦材料逐步取代传统混凝土瓦，从而保护耕地，节约资源。</w:t>
      </w:r>
    </w:p>
    <w:p>
      <w:pPr>
        <w:spacing w:line="360" w:lineRule="auto"/>
        <w:ind w:firstLine="600" w:firstLineChars="200"/>
        <w:rPr>
          <w:rFonts w:ascii="Times New Roman" w:hAnsi="Times New Roman" w:eastAsia="仿宋_GB2312" w:cs="Times New Roman"/>
          <w:color w:val="000000" w:themeColor="text1"/>
          <w:sz w:val="30"/>
          <w14:textFill>
            <w14:solidFill>
              <w14:schemeClr w14:val="tx1"/>
            </w14:solidFill>
          </w14:textFill>
        </w:rPr>
      </w:pPr>
      <w:r>
        <w:rPr>
          <w:rFonts w:hint="eastAsia" w:ascii="Times New Roman" w:hAnsi="Times New Roman" w:eastAsia="仿宋_GB2312" w:cs="Times New Roman"/>
          <w:color w:val="000000" w:themeColor="text1"/>
          <w:sz w:val="30"/>
          <w14:textFill>
            <w14:solidFill>
              <w14:schemeClr w14:val="tx1"/>
            </w14:solidFill>
          </w14:textFill>
        </w:rPr>
        <w:t>三、历史文化传承与保护</w:t>
      </w:r>
    </w:p>
    <w:p>
      <w:pPr>
        <w:ind w:firstLine="600" w:firstLineChars="200"/>
        <w:rPr>
          <w:rFonts w:ascii="Times New Roman" w:hAnsi="Times New Roman" w:eastAsia="仿宋_GB2312" w:cs="Times New Roman"/>
          <w:color w:val="000000" w:themeColor="text1"/>
          <w:sz w:val="30"/>
          <w14:textFill>
            <w14:solidFill>
              <w14:schemeClr w14:val="tx1"/>
            </w14:solidFill>
          </w14:textFill>
        </w:rPr>
      </w:pPr>
      <w:r>
        <w:rPr>
          <w:rFonts w:hint="eastAsia" w:ascii="Times New Roman" w:hAnsi="Times New Roman" w:eastAsia="仿宋_GB2312" w:cs="Times New Roman"/>
          <w:color w:val="000000" w:themeColor="text1"/>
          <w:sz w:val="30"/>
          <w14:textFill>
            <w14:solidFill>
              <w14:schemeClr w14:val="tx1"/>
            </w14:solidFill>
          </w14:textFill>
        </w:rPr>
        <w:t>（1）历史文化名村/传统村落、文物保护单位、历史建筑、不可移动文物等历史文化资源，依照相应法律法规、保护规划和上位规划要求进行管控。</w:t>
      </w:r>
    </w:p>
    <w:p>
      <w:pPr>
        <w:ind w:firstLine="600" w:firstLineChars="200"/>
        <w:rPr>
          <w:rFonts w:ascii="Times New Roman" w:hAnsi="Times New Roman" w:eastAsia="仿宋_GB2312" w:cs="Times New Roman"/>
          <w:color w:val="000000" w:themeColor="text1"/>
          <w:sz w:val="30"/>
          <w14:textFill>
            <w14:solidFill>
              <w14:schemeClr w14:val="tx1"/>
            </w14:solidFill>
          </w14:textFill>
        </w:rPr>
      </w:pPr>
      <w:r>
        <w:rPr>
          <w:rFonts w:hint="eastAsia" w:ascii="Times New Roman" w:hAnsi="Times New Roman" w:eastAsia="仿宋_GB2312" w:cs="Times New Roman"/>
          <w:color w:val="000000" w:themeColor="text1"/>
          <w:sz w:val="30"/>
          <w14:textFill>
            <w14:solidFill>
              <w14:schemeClr w14:val="tx1"/>
            </w14:solidFill>
          </w14:textFill>
        </w:rPr>
        <w:t>（2）保护现有古树名木，对村庄古树名木开展普查并挂牌保护，相关建设项目涉及古树名木的，应当在选址、设计、施工等环节采取避让措施。国家和省重点建设项目确需在古树名木保护范围内进行施工，无法避让的，建设单位应当在施工前制定保护方案，按程序报批，</w:t>
      </w:r>
      <w:r>
        <w:rPr>
          <w:rFonts w:ascii="Times New Roman" w:hAnsi="Times New Roman" w:eastAsia="仿宋_GB2312" w:cs="Times New Roman"/>
          <w:color w:val="000000" w:themeColor="text1"/>
          <w:sz w:val="30"/>
          <w14:textFill>
            <w14:solidFill>
              <w14:schemeClr w14:val="tx1"/>
            </w14:solidFill>
          </w14:textFill>
        </w:rPr>
        <w:t>对于违反古树名木管理规定的行为，依法追究责任。</w:t>
      </w:r>
    </w:p>
    <w:p>
      <w:pPr>
        <w:spacing w:line="360" w:lineRule="auto"/>
        <w:ind w:firstLine="600" w:firstLineChars="200"/>
        <w:rPr>
          <w:rFonts w:ascii="Times New Roman" w:hAnsi="Times New Roman" w:eastAsia="仿宋_GB2312" w:cs="Times New Roman"/>
          <w:color w:val="000000" w:themeColor="text1"/>
          <w:sz w:val="30"/>
          <w14:textFill>
            <w14:solidFill>
              <w14:schemeClr w14:val="tx1"/>
            </w14:solidFill>
          </w14:textFill>
        </w:rPr>
      </w:pPr>
      <w:r>
        <w:rPr>
          <w:rFonts w:hint="eastAsia" w:ascii="Times New Roman" w:hAnsi="Times New Roman" w:eastAsia="仿宋_GB2312" w:cs="Times New Roman"/>
          <w:color w:val="000000" w:themeColor="text1"/>
          <w:sz w:val="30"/>
          <w14:textFill>
            <w14:solidFill>
              <w14:schemeClr w14:val="tx1"/>
            </w14:solidFill>
          </w14:textFill>
        </w:rPr>
        <w:t>（3）对村庄内具有较高文化价值的</w:t>
      </w:r>
      <w:r>
        <w:rPr>
          <w:rFonts w:ascii="Times New Roman" w:hAnsi="Times New Roman" w:eastAsia="仿宋_GB2312" w:cs="Times New Roman"/>
          <w:color w:val="000000" w:themeColor="text1"/>
          <w:sz w:val="30"/>
          <w14:textFill>
            <w14:solidFill>
              <w14:schemeClr w14:val="tx1"/>
            </w14:solidFill>
          </w14:textFill>
        </w:rPr>
        <w:t>历史文化</w:t>
      </w:r>
      <w:r>
        <w:rPr>
          <w:rFonts w:hint="eastAsia" w:ascii="Times New Roman" w:hAnsi="Times New Roman" w:eastAsia="仿宋_GB2312" w:cs="Times New Roman"/>
          <w:color w:val="000000" w:themeColor="text1"/>
          <w:sz w:val="30"/>
          <w14:textFill>
            <w14:solidFill>
              <w14:schemeClr w14:val="tx1"/>
            </w14:solidFill>
          </w14:textFill>
        </w:rPr>
        <w:t>要</w:t>
      </w:r>
      <w:r>
        <w:rPr>
          <w:rFonts w:ascii="Times New Roman" w:hAnsi="Times New Roman" w:eastAsia="仿宋_GB2312" w:cs="Times New Roman"/>
          <w:color w:val="000000" w:themeColor="text1"/>
          <w:sz w:val="30"/>
          <w14:textFill>
            <w14:solidFill>
              <w14:schemeClr w14:val="tx1"/>
            </w14:solidFill>
          </w14:textFill>
        </w:rPr>
        <w:t>素</w:t>
      </w:r>
      <w:r>
        <w:rPr>
          <w:rFonts w:hint="eastAsia" w:ascii="Times New Roman" w:hAnsi="Times New Roman" w:eastAsia="仿宋_GB2312" w:cs="Times New Roman"/>
          <w:color w:val="000000" w:themeColor="text1"/>
          <w:sz w:val="30"/>
          <w14:textFill>
            <w14:solidFill>
              <w14:schemeClr w14:val="tx1"/>
            </w14:solidFill>
          </w14:textFill>
        </w:rPr>
        <w:t>，应保留原有状况、面貌及环境，并对建筑进行必要的维护和修缮。</w:t>
      </w:r>
      <w:r>
        <w:rPr>
          <w:rFonts w:ascii="Times New Roman" w:hAnsi="Times New Roman" w:eastAsia="仿宋_GB2312" w:cs="Times New Roman"/>
          <w:color w:val="000000" w:themeColor="text1"/>
          <w:sz w:val="30"/>
          <w14:textFill>
            <w14:solidFill>
              <w14:schemeClr w14:val="tx1"/>
            </w14:solidFill>
          </w14:textFill>
        </w:rPr>
        <w:t>对于非物质文化遗产，要注重传承人的培养和技艺的传承</w:t>
      </w:r>
      <w:r>
        <w:rPr>
          <w:rFonts w:hint="eastAsia" w:ascii="Times New Roman" w:hAnsi="Times New Roman" w:eastAsia="仿宋_GB2312" w:cs="Times New Roman"/>
          <w:color w:val="000000" w:themeColor="text1"/>
          <w:sz w:val="30"/>
          <w14:textFill>
            <w14:solidFill>
              <w14:schemeClr w14:val="tx1"/>
            </w14:solidFill>
          </w14:textFill>
        </w:rPr>
        <w:t>。</w:t>
      </w:r>
    </w:p>
    <w:p>
      <w:pPr>
        <w:spacing w:line="360" w:lineRule="auto"/>
        <w:ind w:firstLine="600" w:firstLineChars="200"/>
        <w:rPr>
          <w:rFonts w:ascii="Times New Roman" w:hAnsi="Times New Roman" w:eastAsia="仿宋_GB2312" w:cs="Times New Roman"/>
          <w:color w:val="000000" w:themeColor="text1"/>
          <w:sz w:val="30"/>
          <w14:textFill>
            <w14:solidFill>
              <w14:schemeClr w14:val="tx1"/>
            </w14:solidFill>
          </w14:textFill>
        </w:rPr>
      </w:pPr>
      <w:r>
        <w:rPr>
          <w:rFonts w:hint="eastAsia" w:ascii="Times New Roman" w:hAnsi="Times New Roman" w:eastAsia="仿宋_GB2312" w:cs="Times New Roman"/>
          <w:color w:val="000000" w:themeColor="text1"/>
          <w:sz w:val="30"/>
          <w14:textFill>
            <w14:solidFill>
              <w14:schemeClr w14:val="tx1"/>
            </w14:solidFill>
          </w14:textFill>
        </w:rPr>
        <w:t>四、村庄安全和防灾减灾</w:t>
      </w:r>
    </w:p>
    <w:p>
      <w:pPr>
        <w:ind w:firstLine="600" w:firstLineChars="200"/>
        <w:rPr>
          <w:rFonts w:ascii="Times New Roman" w:hAnsi="Times New Roman" w:eastAsia="仿宋_GB2312" w:cs="Times New Roman"/>
          <w:color w:val="000000" w:themeColor="text1"/>
          <w:sz w:val="30"/>
          <w14:textFill>
            <w14:solidFill>
              <w14:schemeClr w14:val="tx1"/>
            </w14:solidFill>
          </w14:textFill>
        </w:rPr>
      </w:pPr>
      <w:r>
        <w:rPr>
          <w:rFonts w:hint="eastAsia" w:ascii="Times New Roman" w:hAnsi="Times New Roman" w:eastAsia="仿宋_GB2312" w:cs="Times New Roman"/>
          <w:color w:val="000000" w:themeColor="text1"/>
          <w:sz w:val="30"/>
          <w14:textFill>
            <w14:solidFill>
              <w14:schemeClr w14:val="tx1"/>
            </w14:solidFill>
          </w14:textFill>
        </w:rPr>
        <w:t>（1）村民的宅基地选址和农房建设须避开自然灾害易发地区。洪涝风险控制线内禁止以下活动：违法违规占用河湖、水库、山塘、蓄滞洪空间和排涝通道等的建筑物、构筑物。擅自填埋、占用控制线范围内水域。影响水系安全的爆破、采石、取土，擅自建设各类排污设施。其他对水系保护构成破坏的活动。</w:t>
      </w:r>
    </w:p>
    <w:p>
      <w:pPr>
        <w:ind w:firstLine="600" w:firstLineChars="200"/>
        <w:rPr>
          <w:rFonts w:ascii="Times New Roman" w:hAnsi="Times New Roman" w:eastAsia="仿宋_GB2312" w:cs="Times New Roman"/>
          <w:color w:val="000000" w:themeColor="text1"/>
          <w:sz w:val="30"/>
          <w14:textFill>
            <w14:solidFill>
              <w14:schemeClr w14:val="tx1"/>
            </w14:solidFill>
          </w14:textFill>
        </w:rPr>
      </w:pPr>
      <w:r>
        <w:rPr>
          <w:rFonts w:hint="eastAsia" w:ascii="Times New Roman" w:hAnsi="Times New Roman" w:eastAsia="仿宋_GB2312" w:cs="Times New Roman"/>
          <w:color w:val="000000" w:themeColor="text1"/>
          <w:sz w:val="30"/>
          <w14:textFill>
            <w14:solidFill>
              <w14:schemeClr w14:val="tx1"/>
            </w14:solidFill>
          </w14:textFill>
        </w:rPr>
        <w:t>（2）村庄建筑的间距和通道的设置应符合村庄消防安全的要求；学校、广场等为防灾避险场所，紧急情况下可躲避灾害。</w:t>
      </w:r>
    </w:p>
    <w:p>
      <w:pPr>
        <w:ind w:firstLine="600" w:firstLineChars="200"/>
        <w:rPr>
          <w:rFonts w:ascii="Times New Roman" w:hAnsi="Times New Roman" w:eastAsia="仿宋_GB2312" w:cs="Times New Roman"/>
          <w:color w:val="000000" w:themeColor="text1"/>
          <w:sz w:val="30"/>
          <w14:textFill>
            <w14:solidFill>
              <w14:schemeClr w14:val="tx1"/>
            </w14:solidFill>
          </w14:textFill>
        </w:rPr>
      </w:pPr>
      <w:r>
        <w:rPr>
          <w:rFonts w:hint="eastAsia" w:ascii="Times New Roman" w:hAnsi="Times New Roman" w:eastAsia="仿宋_GB2312" w:cs="Times New Roman"/>
          <w:color w:val="000000" w:themeColor="text1"/>
          <w:sz w:val="30"/>
          <w14:textFill>
            <w14:solidFill>
              <w14:schemeClr w14:val="tx1"/>
            </w14:solidFill>
          </w14:textFill>
        </w:rPr>
        <w:t>（3）村庄环路兼起消防通道作用，且主要道路宽度不得小于4米。村主干道和次干道作为紧急疏散通道，用于震时疏散和震后救灾，平时应保持道路的畅通，避免堵塞。道路为消防通道，不准长期堆放阻碍交通的杂物。</w:t>
      </w:r>
    </w:p>
    <w:p>
      <w:pPr>
        <w:ind w:firstLine="600" w:firstLineChars="200"/>
        <w:rPr>
          <w:rFonts w:ascii="Times New Roman" w:hAnsi="Times New Roman" w:eastAsia="仿宋_GB2312" w:cs="Times New Roman"/>
          <w:color w:val="000000" w:themeColor="text1"/>
          <w:sz w:val="30"/>
          <w14:textFill>
            <w14:solidFill>
              <w14:schemeClr w14:val="tx1"/>
            </w14:solidFill>
          </w14:textFill>
        </w:rPr>
      </w:pPr>
      <w:r>
        <w:rPr>
          <w:rFonts w:hint="eastAsia" w:ascii="Times New Roman" w:hAnsi="Times New Roman" w:eastAsia="仿宋_GB2312" w:cs="Times New Roman"/>
          <w:color w:val="000000" w:themeColor="text1"/>
          <w:sz w:val="30"/>
          <w14:textFill>
            <w14:solidFill>
              <w14:schemeClr w14:val="tx1"/>
            </w14:solidFill>
          </w14:textFill>
        </w:rPr>
        <w:t>（4）健全乡村防灾减灾体系建设。可结合民宿、乡村休闲综合体、旅游酒店、康养设施改造，植入隔离、转移安置、生活救助和健康服务等“急时”功能。利用广场、公园、打谷场等开敞空间，设置应急避难场所。利用公共服务、物流、旅游等设施，嵌入物资储备、应急医疗服务点等应急保障功能。</w:t>
      </w:r>
    </w:p>
    <w:p>
      <w:pPr>
        <w:spacing w:line="360" w:lineRule="auto"/>
        <w:ind w:firstLine="600" w:firstLineChars="200"/>
        <w:rPr>
          <w:rFonts w:ascii="Times New Roman" w:hAnsi="Times New Roman" w:eastAsia="仿宋_GB2312" w:cs="Times New Roman"/>
          <w:color w:val="000000" w:themeColor="text1"/>
          <w:sz w:val="30"/>
          <w14:textFill>
            <w14:solidFill>
              <w14:schemeClr w14:val="tx1"/>
            </w14:solidFill>
          </w14:textFill>
        </w:rPr>
      </w:pPr>
      <w:r>
        <w:rPr>
          <w:rFonts w:hint="eastAsia" w:ascii="Times New Roman" w:hAnsi="Times New Roman" w:eastAsia="仿宋_GB2312" w:cs="Times New Roman"/>
          <w:color w:val="000000" w:themeColor="text1"/>
          <w:sz w:val="30"/>
          <w14:textFill>
            <w14:solidFill>
              <w14:schemeClr w14:val="tx1"/>
            </w14:solidFill>
          </w14:textFill>
        </w:rPr>
        <w:t>（5）新建主要道路利用给水管道设置消防栓，间距不应大于120米，给水规划中应满足消防用水水量的要求，并可利用河湖、池塘、水渠等天然水源解决消防供水，并配备消防泵等消防供水设备，并建设消防取水设施。</w:t>
      </w:r>
    </w:p>
    <w:p>
      <w:pPr>
        <w:widowControl/>
        <w:jc w:val="left"/>
        <w:rPr>
          <w:rFonts w:hint="eastAsia" w:ascii="微软雅黑" w:hAnsi="微软雅黑" w:eastAsia="微软雅黑" w:cs="微软雅黑"/>
          <w:b/>
          <w:bCs/>
          <w:color w:val="000000" w:themeColor="text1"/>
          <w:kern w:val="0"/>
          <w:sz w:val="28"/>
          <w:szCs w:val="28"/>
          <w:lang w:bidi="ar"/>
          <w14:textFill>
            <w14:solidFill>
              <w14:schemeClr w14:val="tx1"/>
            </w14:solidFill>
          </w14:textFill>
        </w:rPr>
      </w:pPr>
      <w:r>
        <w:rPr>
          <w:rFonts w:hint="eastAsia" w:ascii="微软雅黑" w:hAnsi="微软雅黑" w:eastAsia="微软雅黑" w:cs="微软雅黑"/>
          <w:b/>
          <w:bCs/>
          <w:color w:val="000000" w:themeColor="text1"/>
          <w:kern w:val="0"/>
          <w:sz w:val="28"/>
          <w:szCs w:val="28"/>
          <w:lang w:bidi="ar"/>
          <w14:textFill>
            <w14:solidFill>
              <w14:schemeClr w14:val="tx1"/>
            </w14:solidFill>
          </w14:textFill>
        </w:rPr>
        <w:br w:type="page"/>
      </w:r>
    </w:p>
    <w:p>
      <w:pPr>
        <w:pStyle w:val="2"/>
        <w:spacing w:before="156" w:beforeLines="50" w:after="156" w:afterLines="50" w:line="240" w:lineRule="auto"/>
        <w:ind w:left="600"/>
        <w:rPr>
          <w:rFonts w:cs="Times New Roman"/>
          <w:b w:val="0"/>
          <w:bCs w:val="0"/>
          <w:color w:val="000000" w:themeColor="text1"/>
          <w14:textFill>
            <w14:solidFill>
              <w14:schemeClr w14:val="tx1"/>
            </w14:solidFill>
          </w14:textFill>
        </w:rPr>
      </w:pPr>
      <w:r>
        <w:rPr>
          <w:rFonts w:hint="eastAsia" w:cs="Times New Roman"/>
          <w:b w:val="0"/>
          <w:bCs w:val="0"/>
          <w:color w:val="000000" w:themeColor="text1"/>
          <w14:textFill>
            <w14:solidFill>
              <w14:schemeClr w14:val="tx1"/>
            </w14:solidFill>
          </w14:textFill>
        </w:rPr>
        <w:t>附则1</w:t>
      </w:r>
    </w:p>
    <w:p>
      <w:pPr>
        <w:ind w:firstLine="600" w:firstLineChars="200"/>
        <w:rPr>
          <w:rFonts w:ascii="Times New Roman" w:hAnsi="Times New Roman" w:eastAsia="仿宋_GB2312" w:cs="Times New Roman"/>
          <w:color w:val="000000" w:themeColor="text1"/>
          <w:sz w:val="30"/>
          <w14:textFill>
            <w14:solidFill>
              <w14:schemeClr w14:val="tx1"/>
            </w14:solidFill>
          </w14:textFill>
        </w:rPr>
      </w:pPr>
      <w:r>
        <w:rPr>
          <w:rFonts w:hint="eastAsia" w:ascii="Times New Roman" w:hAnsi="Times New Roman" w:eastAsia="仿宋_GB2312" w:cs="Times New Roman"/>
          <w:color w:val="000000" w:themeColor="text1"/>
          <w:sz w:val="30"/>
          <w14:textFill>
            <w14:solidFill>
              <w14:schemeClr w14:val="tx1"/>
            </w14:solidFill>
          </w14:textFill>
        </w:rPr>
        <w:t>（1）规划实施过程中，底线管控指标及要求根据有关规定调整的，本通则内容随之动态调整。地块指标控制需突破本通则规定的，需由属地人民政府组织开展地块指标专项论证后报县政府批准。</w:t>
      </w:r>
    </w:p>
    <w:p>
      <w:pPr>
        <w:ind w:firstLine="600" w:firstLineChars="200"/>
        <w:rPr>
          <w:rFonts w:ascii="Times New Roman" w:hAnsi="Times New Roman" w:eastAsia="仿宋_GB2312" w:cs="Times New Roman"/>
          <w:color w:val="000000" w:themeColor="text1"/>
          <w:sz w:val="30"/>
          <w14:textFill>
            <w14:solidFill>
              <w14:schemeClr w14:val="tx1"/>
            </w14:solidFill>
          </w14:textFill>
        </w:rPr>
      </w:pPr>
      <w:r>
        <w:rPr>
          <w:rFonts w:hint="eastAsia" w:ascii="Times New Roman" w:hAnsi="Times New Roman" w:eastAsia="仿宋_GB2312" w:cs="Times New Roman"/>
          <w:color w:val="000000" w:themeColor="text1"/>
          <w:sz w:val="30"/>
          <w14:textFill>
            <w14:solidFill>
              <w14:schemeClr w14:val="tx1"/>
            </w14:solidFill>
          </w14:textFill>
        </w:rPr>
        <w:t>（2）本通则</w:t>
      </w:r>
      <w:r>
        <w:rPr>
          <w:rFonts w:hint="eastAsia" w:ascii="Times New Roman" w:hAnsi="Times New Roman" w:eastAsia="仿宋_GB2312" w:cs="Times New Roman"/>
          <w:color w:val="000000" w:themeColor="text1"/>
          <w:sz w:val="30"/>
          <w:lang w:val="en-US" w:eastAsia="zh-CN"/>
          <w14:textFill>
            <w14:solidFill>
              <w14:schemeClr w14:val="tx1"/>
            </w14:solidFill>
          </w14:textFill>
        </w:rPr>
        <w:t>自发布之日起30日后施行，有效期至2028</w:t>
      </w:r>
      <w:bookmarkStart w:id="4" w:name="_GoBack"/>
      <w:bookmarkEnd w:id="4"/>
      <w:r>
        <w:rPr>
          <w:rFonts w:hint="eastAsia" w:ascii="Times New Roman" w:hAnsi="Times New Roman" w:eastAsia="仿宋_GB2312" w:cs="Times New Roman"/>
          <w:color w:val="000000" w:themeColor="text1"/>
          <w:sz w:val="30"/>
          <w:lang w:val="en-US" w:eastAsia="zh-CN"/>
          <w14:textFill>
            <w14:solidFill>
              <w14:schemeClr w14:val="tx1"/>
            </w14:solidFill>
          </w14:textFill>
        </w:rPr>
        <w:t>年2月20日</w:t>
      </w:r>
      <w:r>
        <w:rPr>
          <w:rFonts w:hint="eastAsia" w:ascii="Times New Roman" w:hAnsi="Times New Roman" w:eastAsia="仿宋_GB2312" w:cs="Times New Roman"/>
          <w:color w:val="000000" w:themeColor="text1"/>
          <w:sz w:val="30"/>
          <w14:textFill>
            <w14:solidFill>
              <w14:schemeClr w14:val="tx1"/>
            </w14:solidFill>
          </w14:textFill>
        </w:rPr>
        <w:t>。通则实施后，国家、省、市相关规定有更新修改的，应按国家、省、市最新规定执行。</w:t>
      </w:r>
      <w:r>
        <w:rPr>
          <w:rFonts w:hint="eastAsia" w:ascii="Times New Roman" w:hAnsi="Times New Roman" w:eastAsia="仿宋_GB2312" w:cs="Times New Roman"/>
          <w:color w:val="000000" w:themeColor="text1"/>
          <w:sz w:val="30"/>
          <w14:textFill>
            <w14:solidFill>
              <w14:schemeClr w14:val="tx1"/>
            </w14:solidFill>
          </w14:textFill>
        </w:rPr>
        <w:br w:type="page"/>
      </w:r>
    </w:p>
    <w:p>
      <w:pPr>
        <w:ind w:firstLine="602" w:firstLineChars="200"/>
        <w:rPr>
          <w:rFonts w:ascii="Times New Roman" w:hAnsi="Times New Roman" w:eastAsia="仿宋_GB2312" w:cs="Times New Roman"/>
          <w:b/>
          <w:bCs/>
          <w:color w:val="000000" w:themeColor="text1"/>
          <w:sz w:val="30"/>
          <w14:textFill>
            <w14:solidFill>
              <w14:schemeClr w14:val="tx1"/>
            </w14:solidFill>
          </w14:textFill>
        </w:rPr>
      </w:pPr>
      <w:r>
        <w:rPr>
          <w:rFonts w:hint="eastAsia" w:ascii="Times New Roman" w:hAnsi="Times New Roman" w:eastAsia="仿宋_GB2312" w:cs="Times New Roman"/>
          <w:b/>
          <w:bCs/>
          <w:color w:val="000000" w:themeColor="text1"/>
          <w:sz w:val="30"/>
          <w14:textFill>
            <w14:solidFill>
              <w14:schemeClr w14:val="tx1"/>
            </w14:solidFill>
          </w14:textFill>
        </w:rPr>
        <w:t>附则2 揭西县乡镇、街道村庄规划管理通则指标表：</w:t>
      </w:r>
    </w:p>
    <w:p>
      <w:pPr>
        <w:suppressAutoHyphens/>
        <w:jc w:val="right"/>
        <w:rPr>
          <w:rFonts w:ascii="Times New Roman" w:hAnsi="Times New Roman" w:cs="Times New Roman"/>
          <w:color w:val="000000" w:themeColor="text1"/>
          <w:sz w:val="22"/>
          <w14:textFill>
            <w14:solidFill>
              <w14:schemeClr w14:val="tx1"/>
            </w14:solidFill>
          </w14:textFill>
        </w:rPr>
      </w:pPr>
      <w:r>
        <w:rPr>
          <w:rFonts w:ascii="Times New Roman" w:hAnsi="Times New Roman" w:cs="Times New Roman"/>
          <w:color w:val="000000" w:themeColor="text1"/>
          <w:sz w:val="22"/>
          <w14:textFill>
            <w14:solidFill>
              <w14:schemeClr w14:val="tx1"/>
            </w14:solidFill>
          </w14:textFill>
        </w:rPr>
        <w:t>单位：平方公里</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3"/>
        <w:gridCol w:w="1406"/>
        <w:gridCol w:w="1802"/>
        <w:gridCol w:w="1969"/>
        <w:gridCol w:w="19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blHeader/>
          <w:jc w:val="center"/>
        </w:trPr>
        <w:tc>
          <w:tcPr>
            <w:tcW w:w="1383" w:type="dxa"/>
            <w:tcBorders>
              <w:top w:val="single" w:color="auto" w:sz="4" w:space="0"/>
              <w:left w:val="single" w:color="auto" w:sz="4" w:space="0"/>
              <w:bottom w:val="single" w:color="auto" w:sz="4" w:space="0"/>
              <w:right w:val="single" w:color="auto" w:sz="4" w:space="0"/>
              <w:tl2br w:val="nil"/>
              <w:tr2bl w:val="nil"/>
            </w:tcBorders>
            <w:vAlign w:val="center"/>
          </w:tcPr>
          <w:p>
            <w:pPr>
              <w:pStyle w:val="11"/>
              <w:rPr>
                <w:b/>
                <w:bCs/>
                <w:sz w:val="24"/>
                <w:szCs w:val="24"/>
              </w:rPr>
            </w:pPr>
            <w:r>
              <w:rPr>
                <w:rFonts w:hint="eastAsia"/>
                <w:b/>
                <w:bCs/>
                <w:sz w:val="24"/>
                <w:szCs w:val="24"/>
              </w:rPr>
              <w:t>行政区</w:t>
            </w:r>
          </w:p>
        </w:tc>
        <w:tc>
          <w:tcPr>
            <w:tcW w:w="1406" w:type="dxa"/>
            <w:tcBorders>
              <w:top w:val="single" w:color="auto" w:sz="4" w:space="0"/>
              <w:left w:val="single" w:color="auto" w:sz="4" w:space="0"/>
              <w:bottom w:val="single" w:color="auto" w:sz="4" w:space="0"/>
              <w:right w:val="single" w:color="auto" w:sz="4" w:space="0"/>
              <w:tl2br w:val="nil"/>
              <w:tr2bl w:val="nil"/>
            </w:tcBorders>
            <w:vAlign w:val="center"/>
          </w:tcPr>
          <w:p>
            <w:pPr>
              <w:pStyle w:val="11"/>
              <w:rPr>
                <w:b/>
                <w:bCs/>
                <w:sz w:val="24"/>
                <w:szCs w:val="24"/>
              </w:rPr>
            </w:pPr>
            <w:r>
              <w:rPr>
                <w:rFonts w:hint="eastAsia"/>
                <w:b/>
                <w:bCs/>
                <w:sz w:val="24"/>
                <w:szCs w:val="24"/>
              </w:rPr>
              <w:t>耕地保有量</w:t>
            </w:r>
          </w:p>
        </w:tc>
        <w:tc>
          <w:tcPr>
            <w:tcW w:w="1802" w:type="dxa"/>
            <w:tcBorders>
              <w:top w:val="single" w:color="auto" w:sz="4" w:space="0"/>
              <w:left w:val="single" w:color="auto" w:sz="4" w:space="0"/>
              <w:bottom w:val="single" w:color="auto" w:sz="4" w:space="0"/>
              <w:right w:val="single" w:color="auto" w:sz="4" w:space="0"/>
              <w:tl2br w:val="nil"/>
              <w:tr2bl w:val="nil"/>
            </w:tcBorders>
            <w:vAlign w:val="center"/>
          </w:tcPr>
          <w:p>
            <w:pPr>
              <w:pStyle w:val="11"/>
              <w:rPr>
                <w:b/>
                <w:bCs/>
                <w:sz w:val="24"/>
                <w:szCs w:val="24"/>
              </w:rPr>
            </w:pPr>
            <w:r>
              <w:rPr>
                <w:rFonts w:hint="eastAsia"/>
                <w:b/>
                <w:bCs/>
                <w:sz w:val="24"/>
                <w:szCs w:val="24"/>
              </w:rPr>
              <w:t>永久基本农田</w:t>
            </w:r>
          </w:p>
          <w:p>
            <w:pPr>
              <w:pStyle w:val="11"/>
              <w:rPr>
                <w:b/>
                <w:bCs/>
                <w:sz w:val="24"/>
                <w:szCs w:val="24"/>
              </w:rPr>
            </w:pPr>
            <w:r>
              <w:rPr>
                <w:rFonts w:hint="eastAsia"/>
                <w:b/>
                <w:bCs/>
                <w:sz w:val="24"/>
                <w:szCs w:val="24"/>
              </w:rPr>
              <w:t>保护面积</w:t>
            </w:r>
          </w:p>
        </w:tc>
        <w:tc>
          <w:tcPr>
            <w:tcW w:w="1969" w:type="dxa"/>
            <w:tcBorders>
              <w:top w:val="single" w:color="auto" w:sz="4" w:space="0"/>
              <w:left w:val="single" w:color="auto" w:sz="4" w:space="0"/>
              <w:bottom w:val="single" w:color="auto" w:sz="4" w:space="0"/>
              <w:right w:val="single" w:color="auto" w:sz="4" w:space="0"/>
              <w:tl2br w:val="nil"/>
              <w:tr2bl w:val="nil"/>
            </w:tcBorders>
            <w:vAlign w:val="center"/>
          </w:tcPr>
          <w:p>
            <w:pPr>
              <w:pStyle w:val="11"/>
              <w:rPr>
                <w:b/>
                <w:bCs/>
                <w:sz w:val="24"/>
                <w:szCs w:val="24"/>
              </w:rPr>
            </w:pPr>
            <w:r>
              <w:rPr>
                <w:rFonts w:hint="eastAsia"/>
                <w:b/>
                <w:bCs/>
                <w:sz w:val="24"/>
                <w:szCs w:val="24"/>
              </w:rPr>
              <w:t>生态保护</w:t>
            </w:r>
          </w:p>
          <w:p>
            <w:pPr>
              <w:pStyle w:val="11"/>
              <w:rPr>
                <w:b/>
                <w:bCs/>
                <w:sz w:val="24"/>
                <w:szCs w:val="24"/>
              </w:rPr>
            </w:pPr>
            <w:r>
              <w:rPr>
                <w:rFonts w:hint="eastAsia"/>
                <w:b/>
                <w:bCs/>
                <w:sz w:val="24"/>
                <w:szCs w:val="24"/>
              </w:rPr>
              <w:t>红线面积</w:t>
            </w:r>
          </w:p>
        </w:tc>
        <w:tc>
          <w:tcPr>
            <w:tcW w:w="1962" w:type="dxa"/>
            <w:tcBorders>
              <w:top w:val="single" w:color="auto" w:sz="4" w:space="0"/>
              <w:left w:val="single" w:color="auto" w:sz="4" w:space="0"/>
              <w:bottom w:val="single" w:color="auto" w:sz="4" w:space="0"/>
              <w:right w:val="single" w:color="auto" w:sz="4" w:space="0"/>
              <w:tl2br w:val="nil"/>
              <w:tr2bl w:val="nil"/>
            </w:tcBorders>
            <w:vAlign w:val="center"/>
          </w:tcPr>
          <w:p>
            <w:pPr>
              <w:pStyle w:val="11"/>
              <w:rPr>
                <w:b/>
                <w:bCs/>
                <w:sz w:val="24"/>
                <w:szCs w:val="24"/>
              </w:rPr>
            </w:pPr>
            <w:r>
              <w:rPr>
                <w:rFonts w:hint="eastAsia"/>
                <w:b/>
                <w:bCs/>
                <w:sz w:val="24"/>
                <w:szCs w:val="24"/>
              </w:rPr>
              <w:t>城镇开发边界</w:t>
            </w:r>
          </w:p>
          <w:p>
            <w:pPr>
              <w:pStyle w:val="11"/>
              <w:rPr>
                <w:b/>
                <w:bCs/>
                <w:sz w:val="24"/>
                <w:szCs w:val="24"/>
              </w:rPr>
            </w:pPr>
            <w:r>
              <w:rPr>
                <w:rFonts w:hint="eastAsia"/>
                <w:b/>
                <w:bCs/>
                <w:sz w:val="24"/>
                <w:szCs w:val="24"/>
              </w:rPr>
              <w:t>面积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3" w:hRule="atLeast"/>
          <w:jc w:val="center"/>
        </w:trPr>
        <w:tc>
          <w:tcPr>
            <w:tcW w:w="1383" w:type="dxa"/>
            <w:tcBorders>
              <w:top w:val="single" w:color="auto" w:sz="4" w:space="0"/>
              <w:left w:val="single" w:color="auto" w:sz="4" w:space="0"/>
              <w:bottom w:val="single" w:color="auto" w:sz="4" w:space="0"/>
              <w:right w:val="single" w:color="auto" w:sz="4" w:space="0"/>
              <w:tl2br w:val="nil"/>
              <w:tr2bl w:val="nil"/>
            </w:tcBorders>
            <w:vAlign w:val="center"/>
          </w:tcPr>
          <w:p>
            <w:pPr>
              <w:pStyle w:val="11"/>
              <w:rPr>
                <w:sz w:val="24"/>
                <w:szCs w:val="24"/>
              </w:rPr>
            </w:pPr>
            <w:bookmarkStart w:id="2" w:name="_Hlk181196803"/>
            <w:r>
              <w:rPr>
                <w:sz w:val="24"/>
                <w:szCs w:val="24"/>
              </w:rPr>
              <w:t>河婆街道</w:t>
            </w:r>
          </w:p>
        </w:tc>
        <w:tc>
          <w:tcPr>
            <w:tcW w:w="1406" w:type="dxa"/>
            <w:tcBorders>
              <w:top w:val="single" w:color="auto" w:sz="4" w:space="0"/>
              <w:left w:val="single" w:color="auto" w:sz="4" w:space="0"/>
              <w:bottom w:val="single" w:color="auto" w:sz="4" w:space="0"/>
              <w:right w:val="single" w:color="auto" w:sz="4" w:space="0"/>
              <w:tl2br w:val="nil"/>
              <w:tr2bl w:val="nil"/>
            </w:tcBorders>
            <w:vAlign w:val="center"/>
          </w:tcPr>
          <w:p>
            <w:pPr>
              <w:pStyle w:val="11"/>
              <w:rPr>
                <w:sz w:val="24"/>
                <w:szCs w:val="24"/>
              </w:rPr>
            </w:pPr>
            <w:r>
              <w:rPr>
                <w:sz w:val="24"/>
                <w:szCs w:val="24"/>
              </w:rPr>
              <w:t>9.34</w:t>
            </w:r>
          </w:p>
        </w:tc>
        <w:tc>
          <w:tcPr>
            <w:tcW w:w="1802" w:type="dxa"/>
            <w:tcBorders>
              <w:top w:val="single" w:color="auto" w:sz="4" w:space="0"/>
              <w:left w:val="single" w:color="auto" w:sz="4" w:space="0"/>
              <w:bottom w:val="single" w:color="auto" w:sz="4" w:space="0"/>
              <w:right w:val="single" w:color="auto" w:sz="4" w:space="0"/>
              <w:tl2br w:val="nil"/>
              <w:tr2bl w:val="nil"/>
            </w:tcBorders>
            <w:vAlign w:val="center"/>
          </w:tcPr>
          <w:p>
            <w:pPr>
              <w:pStyle w:val="11"/>
              <w:rPr>
                <w:sz w:val="24"/>
                <w:szCs w:val="24"/>
              </w:rPr>
            </w:pPr>
            <w:r>
              <w:rPr>
                <w:sz w:val="24"/>
                <w:szCs w:val="24"/>
              </w:rPr>
              <w:t>7.5</w:t>
            </w:r>
            <w:r>
              <w:rPr>
                <w:rFonts w:hint="eastAsia"/>
                <w:sz w:val="24"/>
                <w:szCs w:val="24"/>
              </w:rPr>
              <w:t>6</w:t>
            </w:r>
          </w:p>
        </w:tc>
        <w:tc>
          <w:tcPr>
            <w:tcW w:w="1969" w:type="dxa"/>
            <w:tcBorders>
              <w:top w:val="single" w:color="auto" w:sz="4" w:space="0"/>
              <w:left w:val="single" w:color="auto" w:sz="4" w:space="0"/>
              <w:bottom w:val="single" w:color="auto" w:sz="4" w:space="0"/>
              <w:right w:val="single" w:color="auto" w:sz="4" w:space="0"/>
              <w:tl2br w:val="nil"/>
              <w:tr2bl w:val="nil"/>
            </w:tcBorders>
            <w:vAlign w:val="center"/>
          </w:tcPr>
          <w:p>
            <w:pPr>
              <w:pStyle w:val="11"/>
              <w:rPr>
                <w:sz w:val="24"/>
                <w:szCs w:val="24"/>
              </w:rPr>
            </w:pPr>
            <w:r>
              <w:rPr>
                <w:rFonts w:eastAsia="等线"/>
                <w:sz w:val="24"/>
                <w:szCs w:val="24"/>
              </w:rPr>
              <w:t>9.63</w:t>
            </w:r>
          </w:p>
        </w:tc>
        <w:tc>
          <w:tcPr>
            <w:tcW w:w="1962" w:type="dxa"/>
            <w:tcBorders>
              <w:top w:val="single" w:color="auto" w:sz="4" w:space="0"/>
              <w:left w:val="single" w:color="auto" w:sz="4" w:space="0"/>
              <w:bottom w:val="single" w:color="auto" w:sz="4" w:space="0"/>
              <w:right w:val="single" w:color="auto" w:sz="4" w:space="0"/>
              <w:tl2br w:val="nil"/>
              <w:tr2bl w:val="nil"/>
            </w:tcBorders>
            <w:vAlign w:val="center"/>
          </w:tcPr>
          <w:p>
            <w:pPr>
              <w:pStyle w:val="11"/>
              <w:rPr>
                <w:sz w:val="24"/>
                <w:szCs w:val="24"/>
              </w:rPr>
            </w:pPr>
            <w:r>
              <w:rPr>
                <w:rFonts w:eastAsia="等线"/>
                <w:sz w:val="24"/>
                <w:szCs w:val="24"/>
              </w:rPr>
              <w:t>12.07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83" w:type="dxa"/>
            <w:tcBorders>
              <w:top w:val="single" w:color="auto" w:sz="4" w:space="0"/>
              <w:left w:val="single" w:color="auto" w:sz="4" w:space="0"/>
              <w:bottom w:val="single" w:color="auto" w:sz="4" w:space="0"/>
              <w:right w:val="single" w:color="auto" w:sz="4" w:space="0"/>
              <w:tl2br w:val="nil"/>
              <w:tr2bl w:val="nil"/>
            </w:tcBorders>
            <w:vAlign w:val="center"/>
          </w:tcPr>
          <w:p>
            <w:pPr>
              <w:pStyle w:val="11"/>
              <w:rPr>
                <w:sz w:val="24"/>
                <w:szCs w:val="24"/>
              </w:rPr>
            </w:pPr>
            <w:r>
              <w:rPr>
                <w:sz w:val="24"/>
                <w:szCs w:val="24"/>
              </w:rPr>
              <w:t>龙潭镇</w:t>
            </w:r>
          </w:p>
        </w:tc>
        <w:tc>
          <w:tcPr>
            <w:tcW w:w="1406" w:type="dxa"/>
            <w:tcBorders>
              <w:top w:val="single" w:color="auto" w:sz="4" w:space="0"/>
              <w:left w:val="single" w:color="auto" w:sz="4" w:space="0"/>
              <w:bottom w:val="single" w:color="auto" w:sz="4" w:space="0"/>
              <w:right w:val="single" w:color="auto" w:sz="4" w:space="0"/>
              <w:tl2br w:val="nil"/>
              <w:tr2bl w:val="nil"/>
            </w:tcBorders>
            <w:vAlign w:val="center"/>
          </w:tcPr>
          <w:p>
            <w:pPr>
              <w:pStyle w:val="11"/>
              <w:rPr>
                <w:sz w:val="24"/>
                <w:szCs w:val="24"/>
              </w:rPr>
            </w:pPr>
            <w:r>
              <w:rPr>
                <w:sz w:val="24"/>
                <w:szCs w:val="24"/>
              </w:rPr>
              <w:t>7.69</w:t>
            </w:r>
          </w:p>
        </w:tc>
        <w:tc>
          <w:tcPr>
            <w:tcW w:w="1802" w:type="dxa"/>
            <w:tcBorders>
              <w:top w:val="single" w:color="auto" w:sz="4" w:space="0"/>
              <w:left w:val="single" w:color="auto" w:sz="4" w:space="0"/>
              <w:bottom w:val="single" w:color="auto" w:sz="4" w:space="0"/>
              <w:right w:val="single" w:color="auto" w:sz="4" w:space="0"/>
              <w:tl2br w:val="nil"/>
              <w:tr2bl w:val="nil"/>
            </w:tcBorders>
            <w:vAlign w:val="center"/>
          </w:tcPr>
          <w:p>
            <w:pPr>
              <w:pStyle w:val="11"/>
              <w:rPr>
                <w:sz w:val="24"/>
                <w:szCs w:val="24"/>
              </w:rPr>
            </w:pPr>
            <w:r>
              <w:rPr>
                <w:sz w:val="24"/>
                <w:szCs w:val="24"/>
              </w:rPr>
              <w:t>7.</w:t>
            </w:r>
            <w:r>
              <w:rPr>
                <w:rFonts w:hint="eastAsia"/>
                <w:sz w:val="24"/>
                <w:szCs w:val="24"/>
              </w:rPr>
              <w:t>33</w:t>
            </w:r>
          </w:p>
        </w:tc>
        <w:tc>
          <w:tcPr>
            <w:tcW w:w="1969" w:type="dxa"/>
            <w:tcBorders>
              <w:top w:val="single" w:color="auto" w:sz="4" w:space="0"/>
              <w:left w:val="single" w:color="auto" w:sz="4" w:space="0"/>
              <w:bottom w:val="single" w:color="auto" w:sz="4" w:space="0"/>
              <w:right w:val="single" w:color="auto" w:sz="4" w:space="0"/>
              <w:tl2br w:val="nil"/>
              <w:tr2bl w:val="nil"/>
            </w:tcBorders>
            <w:vAlign w:val="center"/>
          </w:tcPr>
          <w:p>
            <w:pPr>
              <w:pStyle w:val="11"/>
              <w:rPr>
                <w:sz w:val="24"/>
                <w:szCs w:val="24"/>
              </w:rPr>
            </w:pPr>
            <w:r>
              <w:rPr>
                <w:rFonts w:eastAsia="等线"/>
                <w:sz w:val="24"/>
                <w:szCs w:val="24"/>
              </w:rPr>
              <w:t>1.26</w:t>
            </w:r>
          </w:p>
        </w:tc>
        <w:tc>
          <w:tcPr>
            <w:tcW w:w="1962" w:type="dxa"/>
            <w:tcBorders>
              <w:top w:val="single" w:color="auto" w:sz="4" w:space="0"/>
              <w:left w:val="single" w:color="auto" w:sz="4" w:space="0"/>
              <w:bottom w:val="single" w:color="auto" w:sz="4" w:space="0"/>
              <w:right w:val="single" w:color="auto" w:sz="4" w:space="0"/>
              <w:tl2br w:val="nil"/>
              <w:tr2bl w:val="nil"/>
            </w:tcBorders>
            <w:vAlign w:val="center"/>
          </w:tcPr>
          <w:p>
            <w:pPr>
              <w:pStyle w:val="11"/>
              <w:rPr>
                <w:sz w:val="24"/>
                <w:szCs w:val="24"/>
              </w:rPr>
            </w:pPr>
            <w:r>
              <w:rPr>
                <w:rFonts w:eastAsia="等线"/>
                <w:sz w:val="24"/>
                <w:szCs w:val="24"/>
              </w:rPr>
              <w:t>0.75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83" w:type="dxa"/>
            <w:tcBorders>
              <w:top w:val="single" w:color="auto" w:sz="4" w:space="0"/>
              <w:left w:val="single" w:color="auto" w:sz="4" w:space="0"/>
              <w:bottom w:val="single" w:color="auto" w:sz="4" w:space="0"/>
              <w:right w:val="single" w:color="auto" w:sz="4" w:space="0"/>
              <w:tl2br w:val="nil"/>
              <w:tr2bl w:val="nil"/>
            </w:tcBorders>
            <w:vAlign w:val="center"/>
          </w:tcPr>
          <w:p>
            <w:pPr>
              <w:pStyle w:val="11"/>
              <w:rPr>
                <w:sz w:val="24"/>
                <w:szCs w:val="24"/>
              </w:rPr>
            </w:pPr>
            <w:r>
              <w:rPr>
                <w:sz w:val="24"/>
                <w:szCs w:val="24"/>
              </w:rPr>
              <w:t>南山镇</w:t>
            </w:r>
          </w:p>
        </w:tc>
        <w:tc>
          <w:tcPr>
            <w:tcW w:w="1406" w:type="dxa"/>
            <w:tcBorders>
              <w:top w:val="single" w:color="auto" w:sz="4" w:space="0"/>
              <w:left w:val="single" w:color="auto" w:sz="4" w:space="0"/>
              <w:bottom w:val="single" w:color="auto" w:sz="4" w:space="0"/>
              <w:right w:val="single" w:color="auto" w:sz="4" w:space="0"/>
              <w:tl2br w:val="nil"/>
              <w:tr2bl w:val="nil"/>
            </w:tcBorders>
            <w:vAlign w:val="center"/>
          </w:tcPr>
          <w:p>
            <w:pPr>
              <w:pStyle w:val="11"/>
              <w:rPr>
                <w:sz w:val="24"/>
                <w:szCs w:val="24"/>
              </w:rPr>
            </w:pPr>
            <w:r>
              <w:rPr>
                <w:sz w:val="24"/>
                <w:szCs w:val="24"/>
              </w:rPr>
              <w:t>6.10</w:t>
            </w:r>
          </w:p>
        </w:tc>
        <w:tc>
          <w:tcPr>
            <w:tcW w:w="1802" w:type="dxa"/>
            <w:tcBorders>
              <w:top w:val="single" w:color="auto" w:sz="4" w:space="0"/>
              <w:left w:val="single" w:color="auto" w:sz="4" w:space="0"/>
              <w:bottom w:val="single" w:color="auto" w:sz="4" w:space="0"/>
              <w:right w:val="single" w:color="auto" w:sz="4" w:space="0"/>
              <w:tl2br w:val="nil"/>
              <w:tr2bl w:val="nil"/>
            </w:tcBorders>
            <w:vAlign w:val="center"/>
          </w:tcPr>
          <w:p>
            <w:pPr>
              <w:pStyle w:val="11"/>
              <w:rPr>
                <w:sz w:val="24"/>
                <w:szCs w:val="24"/>
              </w:rPr>
            </w:pPr>
            <w:r>
              <w:rPr>
                <w:sz w:val="24"/>
                <w:szCs w:val="24"/>
              </w:rPr>
              <w:t>5.7</w:t>
            </w:r>
            <w:r>
              <w:rPr>
                <w:rFonts w:hint="eastAsia"/>
                <w:sz w:val="24"/>
                <w:szCs w:val="24"/>
              </w:rPr>
              <w:t>5</w:t>
            </w:r>
          </w:p>
        </w:tc>
        <w:tc>
          <w:tcPr>
            <w:tcW w:w="1969" w:type="dxa"/>
            <w:tcBorders>
              <w:top w:val="single" w:color="auto" w:sz="4" w:space="0"/>
              <w:left w:val="single" w:color="auto" w:sz="4" w:space="0"/>
              <w:bottom w:val="single" w:color="auto" w:sz="4" w:space="0"/>
              <w:right w:val="single" w:color="auto" w:sz="4" w:space="0"/>
              <w:tl2br w:val="nil"/>
              <w:tr2bl w:val="nil"/>
            </w:tcBorders>
            <w:vAlign w:val="center"/>
          </w:tcPr>
          <w:p>
            <w:pPr>
              <w:pStyle w:val="11"/>
              <w:rPr>
                <w:sz w:val="24"/>
                <w:szCs w:val="24"/>
              </w:rPr>
            </w:pPr>
            <w:r>
              <w:rPr>
                <w:rFonts w:eastAsia="等线"/>
                <w:sz w:val="24"/>
                <w:szCs w:val="24"/>
              </w:rPr>
              <w:t>56.84</w:t>
            </w:r>
          </w:p>
        </w:tc>
        <w:tc>
          <w:tcPr>
            <w:tcW w:w="1962" w:type="dxa"/>
            <w:tcBorders>
              <w:top w:val="single" w:color="auto" w:sz="4" w:space="0"/>
              <w:left w:val="single" w:color="auto" w:sz="4" w:space="0"/>
              <w:bottom w:val="single" w:color="auto" w:sz="4" w:space="0"/>
              <w:right w:val="single" w:color="auto" w:sz="4" w:space="0"/>
              <w:tl2br w:val="nil"/>
              <w:tr2bl w:val="nil"/>
            </w:tcBorders>
            <w:vAlign w:val="center"/>
          </w:tcPr>
          <w:p>
            <w:pPr>
              <w:pStyle w:val="11"/>
              <w:rPr>
                <w:sz w:val="24"/>
                <w:szCs w:val="24"/>
              </w:rPr>
            </w:pPr>
            <w:r>
              <w:rPr>
                <w:rFonts w:eastAsia="等线"/>
                <w:sz w:val="24"/>
                <w:szCs w:val="24"/>
              </w:rPr>
              <w:t>0.74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83" w:type="dxa"/>
            <w:tcBorders>
              <w:top w:val="single" w:color="auto" w:sz="4" w:space="0"/>
              <w:left w:val="single" w:color="auto" w:sz="4" w:space="0"/>
              <w:bottom w:val="single" w:color="auto" w:sz="4" w:space="0"/>
              <w:right w:val="single" w:color="auto" w:sz="4" w:space="0"/>
              <w:tl2br w:val="nil"/>
              <w:tr2bl w:val="nil"/>
            </w:tcBorders>
            <w:vAlign w:val="center"/>
          </w:tcPr>
          <w:p>
            <w:pPr>
              <w:pStyle w:val="11"/>
              <w:rPr>
                <w:sz w:val="24"/>
                <w:szCs w:val="24"/>
              </w:rPr>
            </w:pPr>
            <w:r>
              <w:rPr>
                <w:sz w:val="24"/>
                <w:szCs w:val="24"/>
              </w:rPr>
              <w:t>五经富镇</w:t>
            </w:r>
          </w:p>
        </w:tc>
        <w:tc>
          <w:tcPr>
            <w:tcW w:w="1406" w:type="dxa"/>
            <w:tcBorders>
              <w:top w:val="single" w:color="auto" w:sz="4" w:space="0"/>
              <w:left w:val="single" w:color="auto" w:sz="4" w:space="0"/>
              <w:bottom w:val="single" w:color="auto" w:sz="4" w:space="0"/>
              <w:right w:val="single" w:color="auto" w:sz="4" w:space="0"/>
              <w:tl2br w:val="nil"/>
              <w:tr2bl w:val="nil"/>
            </w:tcBorders>
            <w:vAlign w:val="center"/>
          </w:tcPr>
          <w:p>
            <w:pPr>
              <w:pStyle w:val="11"/>
              <w:rPr>
                <w:sz w:val="24"/>
                <w:szCs w:val="24"/>
              </w:rPr>
            </w:pPr>
            <w:r>
              <w:rPr>
                <w:sz w:val="24"/>
                <w:szCs w:val="24"/>
              </w:rPr>
              <w:t>5.80</w:t>
            </w:r>
          </w:p>
        </w:tc>
        <w:tc>
          <w:tcPr>
            <w:tcW w:w="1802" w:type="dxa"/>
            <w:tcBorders>
              <w:top w:val="single" w:color="auto" w:sz="4" w:space="0"/>
              <w:left w:val="single" w:color="auto" w:sz="4" w:space="0"/>
              <w:bottom w:val="single" w:color="auto" w:sz="4" w:space="0"/>
              <w:right w:val="single" w:color="auto" w:sz="4" w:space="0"/>
              <w:tl2br w:val="nil"/>
              <w:tr2bl w:val="nil"/>
            </w:tcBorders>
            <w:vAlign w:val="center"/>
          </w:tcPr>
          <w:p>
            <w:pPr>
              <w:pStyle w:val="11"/>
              <w:rPr>
                <w:sz w:val="24"/>
                <w:szCs w:val="24"/>
              </w:rPr>
            </w:pPr>
            <w:r>
              <w:rPr>
                <w:sz w:val="24"/>
                <w:szCs w:val="24"/>
              </w:rPr>
              <w:t>5.1</w:t>
            </w:r>
            <w:r>
              <w:rPr>
                <w:rFonts w:hint="eastAsia"/>
                <w:sz w:val="24"/>
                <w:szCs w:val="24"/>
              </w:rPr>
              <w:t>8</w:t>
            </w:r>
          </w:p>
        </w:tc>
        <w:tc>
          <w:tcPr>
            <w:tcW w:w="1969" w:type="dxa"/>
            <w:tcBorders>
              <w:top w:val="single" w:color="auto" w:sz="4" w:space="0"/>
              <w:left w:val="single" w:color="auto" w:sz="4" w:space="0"/>
              <w:bottom w:val="single" w:color="auto" w:sz="4" w:space="0"/>
              <w:right w:val="single" w:color="auto" w:sz="4" w:space="0"/>
              <w:tl2br w:val="nil"/>
              <w:tr2bl w:val="nil"/>
            </w:tcBorders>
            <w:vAlign w:val="center"/>
          </w:tcPr>
          <w:p>
            <w:pPr>
              <w:pStyle w:val="11"/>
              <w:rPr>
                <w:sz w:val="24"/>
                <w:szCs w:val="24"/>
              </w:rPr>
            </w:pPr>
            <w:r>
              <w:rPr>
                <w:rFonts w:eastAsia="等线"/>
                <w:sz w:val="24"/>
                <w:szCs w:val="24"/>
              </w:rPr>
              <w:t>80.63</w:t>
            </w:r>
          </w:p>
        </w:tc>
        <w:tc>
          <w:tcPr>
            <w:tcW w:w="1962" w:type="dxa"/>
            <w:tcBorders>
              <w:top w:val="single" w:color="auto" w:sz="4" w:space="0"/>
              <w:left w:val="single" w:color="auto" w:sz="4" w:space="0"/>
              <w:bottom w:val="single" w:color="auto" w:sz="4" w:space="0"/>
              <w:right w:val="single" w:color="auto" w:sz="4" w:space="0"/>
              <w:tl2br w:val="nil"/>
              <w:tr2bl w:val="nil"/>
            </w:tcBorders>
            <w:vAlign w:val="center"/>
          </w:tcPr>
          <w:p>
            <w:pPr>
              <w:pStyle w:val="11"/>
              <w:rPr>
                <w:sz w:val="24"/>
                <w:szCs w:val="24"/>
              </w:rPr>
            </w:pPr>
            <w:r>
              <w:rPr>
                <w:rFonts w:eastAsia="等线"/>
                <w:sz w:val="24"/>
                <w:szCs w:val="24"/>
              </w:rPr>
              <w:t>3.16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83" w:type="dxa"/>
            <w:tcBorders>
              <w:top w:val="single" w:color="auto" w:sz="4" w:space="0"/>
              <w:left w:val="single" w:color="auto" w:sz="4" w:space="0"/>
              <w:bottom w:val="single" w:color="auto" w:sz="4" w:space="0"/>
              <w:right w:val="single" w:color="auto" w:sz="4" w:space="0"/>
              <w:tl2br w:val="nil"/>
              <w:tr2bl w:val="nil"/>
            </w:tcBorders>
            <w:vAlign w:val="center"/>
          </w:tcPr>
          <w:p>
            <w:pPr>
              <w:pStyle w:val="11"/>
              <w:rPr>
                <w:sz w:val="24"/>
                <w:szCs w:val="24"/>
              </w:rPr>
            </w:pPr>
            <w:r>
              <w:rPr>
                <w:sz w:val="24"/>
                <w:szCs w:val="24"/>
              </w:rPr>
              <w:t>京溪园镇</w:t>
            </w:r>
          </w:p>
        </w:tc>
        <w:tc>
          <w:tcPr>
            <w:tcW w:w="1406" w:type="dxa"/>
            <w:tcBorders>
              <w:top w:val="single" w:color="auto" w:sz="4" w:space="0"/>
              <w:left w:val="single" w:color="auto" w:sz="4" w:space="0"/>
              <w:bottom w:val="single" w:color="auto" w:sz="4" w:space="0"/>
              <w:right w:val="single" w:color="auto" w:sz="4" w:space="0"/>
              <w:tl2br w:val="nil"/>
              <w:tr2bl w:val="nil"/>
            </w:tcBorders>
            <w:vAlign w:val="center"/>
          </w:tcPr>
          <w:p>
            <w:pPr>
              <w:pStyle w:val="11"/>
              <w:rPr>
                <w:sz w:val="24"/>
                <w:szCs w:val="24"/>
              </w:rPr>
            </w:pPr>
            <w:r>
              <w:rPr>
                <w:sz w:val="24"/>
                <w:szCs w:val="24"/>
              </w:rPr>
              <w:t>4.86</w:t>
            </w:r>
          </w:p>
        </w:tc>
        <w:tc>
          <w:tcPr>
            <w:tcW w:w="1802" w:type="dxa"/>
            <w:tcBorders>
              <w:top w:val="single" w:color="auto" w:sz="4" w:space="0"/>
              <w:left w:val="single" w:color="auto" w:sz="4" w:space="0"/>
              <w:bottom w:val="single" w:color="auto" w:sz="4" w:space="0"/>
              <w:right w:val="single" w:color="auto" w:sz="4" w:space="0"/>
              <w:tl2br w:val="nil"/>
              <w:tr2bl w:val="nil"/>
            </w:tcBorders>
            <w:vAlign w:val="center"/>
          </w:tcPr>
          <w:p>
            <w:pPr>
              <w:pStyle w:val="11"/>
              <w:rPr>
                <w:sz w:val="24"/>
                <w:szCs w:val="24"/>
              </w:rPr>
            </w:pPr>
            <w:r>
              <w:rPr>
                <w:sz w:val="24"/>
                <w:szCs w:val="24"/>
              </w:rPr>
              <w:t>4.</w:t>
            </w:r>
            <w:r>
              <w:rPr>
                <w:rFonts w:hint="eastAsia"/>
                <w:sz w:val="24"/>
                <w:szCs w:val="24"/>
              </w:rPr>
              <w:t>80</w:t>
            </w:r>
          </w:p>
        </w:tc>
        <w:tc>
          <w:tcPr>
            <w:tcW w:w="1969" w:type="dxa"/>
            <w:tcBorders>
              <w:top w:val="single" w:color="auto" w:sz="4" w:space="0"/>
              <w:left w:val="single" w:color="auto" w:sz="4" w:space="0"/>
              <w:bottom w:val="single" w:color="auto" w:sz="4" w:space="0"/>
              <w:right w:val="single" w:color="auto" w:sz="4" w:space="0"/>
              <w:tl2br w:val="nil"/>
              <w:tr2bl w:val="nil"/>
            </w:tcBorders>
            <w:vAlign w:val="center"/>
          </w:tcPr>
          <w:p>
            <w:pPr>
              <w:pStyle w:val="11"/>
              <w:rPr>
                <w:sz w:val="24"/>
                <w:szCs w:val="24"/>
              </w:rPr>
            </w:pPr>
            <w:r>
              <w:rPr>
                <w:rFonts w:eastAsia="等线"/>
                <w:sz w:val="24"/>
                <w:szCs w:val="24"/>
              </w:rPr>
              <w:t>11.33</w:t>
            </w:r>
          </w:p>
        </w:tc>
        <w:tc>
          <w:tcPr>
            <w:tcW w:w="1962" w:type="dxa"/>
            <w:tcBorders>
              <w:top w:val="single" w:color="auto" w:sz="4" w:space="0"/>
              <w:left w:val="single" w:color="auto" w:sz="4" w:space="0"/>
              <w:bottom w:val="single" w:color="auto" w:sz="4" w:space="0"/>
              <w:right w:val="single" w:color="auto" w:sz="4" w:space="0"/>
              <w:tl2br w:val="nil"/>
              <w:tr2bl w:val="nil"/>
            </w:tcBorders>
            <w:vAlign w:val="center"/>
          </w:tcPr>
          <w:p>
            <w:pPr>
              <w:pStyle w:val="11"/>
              <w:rPr>
                <w:sz w:val="24"/>
                <w:szCs w:val="24"/>
              </w:rPr>
            </w:pPr>
            <w:r>
              <w:rPr>
                <w:rFonts w:eastAsia="等线"/>
                <w:sz w:val="24"/>
                <w:szCs w:val="24"/>
              </w:rPr>
              <w:t>2.01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83" w:type="dxa"/>
            <w:tcBorders>
              <w:top w:val="single" w:color="auto" w:sz="4" w:space="0"/>
              <w:left w:val="single" w:color="auto" w:sz="4" w:space="0"/>
              <w:bottom w:val="single" w:color="auto" w:sz="4" w:space="0"/>
              <w:right w:val="single" w:color="auto" w:sz="4" w:space="0"/>
              <w:tl2br w:val="nil"/>
              <w:tr2bl w:val="nil"/>
            </w:tcBorders>
            <w:vAlign w:val="center"/>
          </w:tcPr>
          <w:p>
            <w:pPr>
              <w:pStyle w:val="11"/>
              <w:rPr>
                <w:sz w:val="24"/>
                <w:szCs w:val="24"/>
              </w:rPr>
            </w:pPr>
            <w:r>
              <w:rPr>
                <w:sz w:val="24"/>
                <w:szCs w:val="24"/>
              </w:rPr>
              <w:t>灰寨镇</w:t>
            </w:r>
          </w:p>
        </w:tc>
        <w:tc>
          <w:tcPr>
            <w:tcW w:w="1406" w:type="dxa"/>
            <w:tcBorders>
              <w:top w:val="single" w:color="auto" w:sz="4" w:space="0"/>
              <w:left w:val="single" w:color="auto" w:sz="4" w:space="0"/>
              <w:bottom w:val="single" w:color="auto" w:sz="4" w:space="0"/>
              <w:right w:val="single" w:color="auto" w:sz="4" w:space="0"/>
              <w:tl2br w:val="nil"/>
              <w:tr2bl w:val="nil"/>
            </w:tcBorders>
            <w:vAlign w:val="center"/>
          </w:tcPr>
          <w:p>
            <w:pPr>
              <w:pStyle w:val="11"/>
              <w:rPr>
                <w:sz w:val="24"/>
                <w:szCs w:val="24"/>
              </w:rPr>
            </w:pPr>
            <w:r>
              <w:rPr>
                <w:sz w:val="24"/>
                <w:szCs w:val="24"/>
              </w:rPr>
              <w:t>5.67</w:t>
            </w:r>
          </w:p>
        </w:tc>
        <w:tc>
          <w:tcPr>
            <w:tcW w:w="1802" w:type="dxa"/>
            <w:tcBorders>
              <w:top w:val="single" w:color="auto" w:sz="4" w:space="0"/>
              <w:left w:val="single" w:color="auto" w:sz="4" w:space="0"/>
              <w:bottom w:val="single" w:color="auto" w:sz="4" w:space="0"/>
              <w:right w:val="single" w:color="auto" w:sz="4" w:space="0"/>
              <w:tl2br w:val="nil"/>
              <w:tr2bl w:val="nil"/>
            </w:tcBorders>
            <w:vAlign w:val="center"/>
          </w:tcPr>
          <w:p>
            <w:pPr>
              <w:pStyle w:val="11"/>
              <w:rPr>
                <w:sz w:val="24"/>
                <w:szCs w:val="24"/>
              </w:rPr>
            </w:pPr>
            <w:r>
              <w:rPr>
                <w:sz w:val="24"/>
                <w:szCs w:val="24"/>
              </w:rPr>
              <w:t>5.2</w:t>
            </w:r>
            <w:r>
              <w:rPr>
                <w:rFonts w:hint="eastAsia"/>
                <w:sz w:val="24"/>
                <w:szCs w:val="24"/>
              </w:rPr>
              <w:t>7</w:t>
            </w:r>
          </w:p>
        </w:tc>
        <w:tc>
          <w:tcPr>
            <w:tcW w:w="1969" w:type="dxa"/>
            <w:tcBorders>
              <w:top w:val="single" w:color="auto" w:sz="4" w:space="0"/>
              <w:left w:val="single" w:color="auto" w:sz="4" w:space="0"/>
              <w:bottom w:val="single" w:color="auto" w:sz="4" w:space="0"/>
              <w:right w:val="single" w:color="auto" w:sz="4" w:space="0"/>
              <w:tl2br w:val="nil"/>
              <w:tr2bl w:val="nil"/>
            </w:tcBorders>
            <w:vAlign w:val="center"/>
          </w:tcPr>
          <w:p>
            <w:pPr>
              <w:pStyle w:val="11"/>
              <w:rPr>
                <w:sz w:val="24"/>
                <w:szCs w:val="24"/>
              </w:rPr>
            </w:pPr>
            <w:r>
              <w:rPr>
                <w:sz w:val="24"/>
                <w:szCs w:val="24"/>
              </w:rPr>
              <w:t>0</w:t>
            </w:r>
          </w:p>
        </w:tc>
        <w:tc>
          <w:tcPr>
            <w:tcW w:w="1962" w:type="dxa"/>
            <w:tcBorders>
              <w:top w:val="single" w:color="auto" w:sz="4" w:space="0"/>
              <w:left w:val="single" w:color="auto" w:sz="4" w:space="0"/>
              <w:bottom w:val="single" w:color="auto" w:sz="4" w:space="0"/>
              <w:right w:val="single" w:color="auto" w:sz="4" w:space="0"/>
              <w:tl2br w:val="nil"/>
              <w:tr2bl w:val="nil"/>
            </w:tcBorders>
            <w:vAlign w:val="center"/>
          </w:tcPr>
          <w:p>
            <w:pPr>
              <w:pStyle w:val="11"/>
              <w:rPr>
                <w:sz w:val="24"/>
                <w:szCs w:val="24"/>
              </w:rPr>
            </w:pPr>
            <w:r>
              <w:rPr>
                <w:rFonts w:eastAsia="等线"/>
                <w:sz w:val="24"/>
                <w:szCs w:val="24"/>
              </w:rPr>
              <w:t>2.10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83" w:type="dxa"/>
            <w:tcBorders>
              <w:top w:val="single" w:color="auto" w:sz="4" w:space="0"/>
              <w:left w:val="single" w:color="auto" w:sz="4" w:space="0"/>
              <w:bottom w:val="single" w:color="auto" w:sz="4" w:space="0"/>
              <w:right w:val="single" w:color="auto" w:sz="4" w:space="0"/>
              <w:tl2br w:val="nil"/>
              <w:tr2bl w:val="nil"/>
            </w:tcBorders>
            <w:vAlign w:val="center"/>
          </w:tcPr>
          <w:p>
            <w:pPr>
              <w:pStyle w:val="11"/>
              <w:rPr>
                <w:sz w:val="24"/>
                <w:szCs w:val="24"/>
              </w:rPr>
            </w:pPr>
            <w:r>
              <w:rPr>
                <w:sz w:val="24"/>
                <w:szCs w:val="24"/>
              </w:rPr>
              <w:t>塔头镇</w:t>
            </w:r>
          </w:p>
        </w:tc>
        <w:tc>
          <w:tcPr>
            <w:tcW w:w="1406" w:type="dxa"/>
            <w:tcBorders>
              <w:top w:val="single" w:color="auto" w:sz="4" w:space="0"/>
              <w:left w:val="single" w:color="auto" w:sz="4" w:space="0"/>
              <w:bottom w:val="single" w:color="auto" w:sz="4" w:space="0"/>
              <w:right w:val="single" w:color="auto" w:sz="4" w:space="0"/>
              <w:tl2br w:val="nil"/>
              <w:tr2bl w:val="nil"/>
            </w:tcBorders>
            <w:vAlign w:val="center"/>
          </w:tcPr>
          <w:p>
            <w:pPr>
              <w:pStyle w:val="11"/>
              <w:rPr>
                <w:sz w:val="24"/>
                <w:szCs w:val="24"/>
              </w:rPr>
            </w:pPr>
            <w:r>
              <w:rPr>
                <w:sz w:val="24"/>
                <w:szCs w:val="24"/>
              </w:rPr>
              <w:t>9.06</w:t>
            </w:r>
          </w:p>
        </w:tc>
        <w:tc>
          <w:tcPr>
            <w:tcW w:w="1802" w:type="dxa"/>
            <w:tcBorders>
              <w:top w:val="single" w:color="auto" w:sz="4" w:space="0"/>
              <w:left w:val="single" w:color="auto" w:sz="4" w:space="0"/>
              <w:bottom w:val="single" w:color="auto" w:sz="4" w:space="0"/>
              <w:right w:val="single" w:color="auto" w:sz="4" w:space="0"/>
              <w:tl2br w:val="nil"/>
              <w:tr2bl w:val="nil"/>
            </w:tcBorders>
            <w:vAlign w:val="center"/>
          </w:tcPr>
          <w:p>
            <w:pPr>
              <w:pStyle w:val="11"/>
              <w:rPr>
                <w:sz w:val="24"/>
                <w:szCs w:val="24"/>
              </w:rPr>
            </w:pPr>
            <w:r>
              <w:rPr>
                <w:sz w:val="24"/>
                <w:szCs w:val="24"/>
              </w:rPr>
              <w:t>8.</w:t>
            </w:r>
            <w:r>
              <w:rPr>
                <w:rFonts w:hint="eastAsia"/>
                <w:sz w:val="24"/>
                <w:szCs w:val="24"/>
              </w:rPr>
              <w:t>70</w:t>
            </w:r>
          </w:p>
        </w:tc>
        <w:tc>
          <w:tcPr>
            <w:tcW w:w="1969" w:type="dxa"/>
            <w:tcBorders>
              <w:top w:val="single" w:color="auto" w:sz="4" w:space="0"/>
              <w:left w:val="single" w:color="auto" w:sz="4" w:space="0"/>
              <w:bottom w:val="single" w:color="auto" w:sz="4" w:space="0"/>
              <w:right w:val="single" w:color="auto" w:sz="4" w:space="0"/>
              <w:tl2br w:val="nil"/>
              <w:tr2bl w:val="nil"/>
            </w:tcBorders>
            <w:vAlign w:val="center"/>
          </w:tcPr>
          <w:p>
            <w:pPr>
              <w:pStyle w:val="11"/>
              <w:rPr>
                <w:sz w:val="24"/>
                <w:szCs w:val="24"/>
              </w:rPr>
            </w:pPr>
            <w:r>
              <w:rPr>
                <w:sz w:val="24"/>
                <w:szCs w:val="24"/>
              </w:rPr>
              <w:t>0</w:t>
            </w:r>
          </w:p>
        </w:tc>
        <w:tc>
          <w:tcPr>
            <w:tcW w:w="1962" w:type="dxa"/>
            <w:tcBorders>
              <w:top w:val="single" w:color="auto" w:sz="4" w:space="0"/>
              <w:left w:val="single" w:color="auto" w:sz="4" w:space="0"/>
              <w:bottom w:val="single" w:color="auto" w:sz="4" w:space="0"/>
              <w:right w:val="single" w:color="auto" w:sz="4" w:space="0"/>
              <w:tl2br w:val="nil"/>
              <w:tr2bl w:val="nil"/>
            </w:tcBorders>
            <w:vAlign w:val="center"/>
          </w:tcPr>
          <w:p>
            <w:pPr>
              <w:pStyle w:val="11"/>
              <w:rPr>
                <w:sz w:val="24"/>
                <w:szCs w:val="24"/>
              </w:rPr>
            </w:pPr>
            <w:r>
              <w:rPr>
                <w:rFonts w:eastAsia="等线"/>
                <w:sz w:val="24"/>
                <w:szCs w:val="24"/>
              </w:rPr>
              <w:t>2.78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83" w:type="dxa"/>
            <w:tcBorders>
              <w:top w:val="single" w:color="auto" w:sz="4" w:space="0"/>
              <w:left w:val="single" w:color="auto" w:sz="4" w:space="0"/>
              <w:bottom w:val="single" w:color="auto" w:sz="4" w:space="0"/>
              <w:right w:val="single" w:color="auto" w:sz="4" w:space="0"/>
              <w:tl2br w:val="nil"/>
              <w:tr2bl w:val="nil"/>
            </w:tcBorders>
            <w:vAlign w:val="center"/>
          </w:tcPr>
          <w:p>
            <w:pPr>
              <w:pStyle w:val="11"/>
              <w:rPr>
                <w:sz w:val="24"/>
                <w:szCs w:val="24"/>
              </w:rPr>
            </w:pPr>
            <w:r>
              <w:rPr>
                <w:sz w:val="24"/>
                <w:szCs w:val="24"/>
              </w:rPr>
              <w:t>东园镇</w:t>
            </w:r>
          </w:p>
        </w:tc>
        <w:tc>
          <w:tcPr>
            <w:tcW w:w="1406" w:type="dxa"/>
            <w:tcBorders>
              <w:top w:val="single" w:color="auto" w:sz="4" w:space="0"/>
              <w:left w:val="single" w:color="auto" w:sz="4" w:space="0"/>
              <w:bottom w:val="single" w:color="auto" w:sz="4" w:space="0"/>
              <w:right w:val="single" w:color="auto" w:sz="4" w:space="0"/>
              <w:tl2br w:val="nil"/>
              <w:tr2bl w:val="nil"/>
            </w:tcBorders>
            <w:vAlign w:val="center"/>
          </w:tcPr>
          <w:p>
            <w:pPr>
              <w:pStyle w:val="11"/>
              <w:rPr>
                <w:sz w:val="24"/>
                <w:szCs w:val="24"/>
              </w:rPr>
            </w:pPr>
            <w:r>
              <w:rPr>
                <w:sz w:val="24"/>
                <w:szCs w:val="24"/>
              </w:rPr>
              <w:t>5.30</w:t>
            </w:r>
          </w:p>
        </w:tc>
        <w:tc>
          <w:tcPr>
            <w:tcW w:w="1802" w:type="dxa"/>
            <w:tcBorders>
              <w:top w:val="single" w:color="auto" w:sz="4" w:space="0"/>
              <w:left w:val="single" w:color="auto" w:sz="4" w:space="0"/>
              <w:bottom w:val="single" w:color="auto" w:sz="4" w:space="0"/>
              <w:right w:val="single" w:color="auto" w:sz="4" w:space="0"/>
              <w:tl2br w:val="nil"/>
              <w:tr2bl w:val="nil"/>
            </w:tcBorders>
            <w:vAlign w:val="center"/>
          </w:tcPr>
          <w:p>
            <w:pPr>
              <w:pStyle w:val="11"/>
              <w:rPr>
                <w:sz w:val="24"/>
                <w:szCs w:val="24"/>
              </w:rPr>
            </w:pPr>
            <w:r>
              <w:rPr>
                <w:sz w:val="24"/>
                <w:szCs w:val="24"/>
              </w:rPr>
              <w:t>5.</w:t>
            </w:r>
            <w:r>
              <w:rPr>
                <w:rFonts w:hint="eastAsia"/>
                <w:sz w:val="24"/>
                <w:szCs w:val="24"/>
              </w:rPr>
              <w:t>13</w:t>
            </w:r>
          </w:p>
        </w:tc>
        <w:tc>
          <w:tcPr>
            <w:tcW w:w="1969" w:type="dxa"/>
            <w:tcBorders>
              <w:top w:val="single" w:color="auto" w:sz="4" w:space="0"/>
              <w:left w:val="single" w:color="auto" w:sz="4" w:space="0"/>
              <w:bottom w:val="single" w:color="auto" w:sz="4" w:space="0"/>
              <w:right w:val="single" w:color="auto" w:sz="4" w:space="0"/>
              <w:tl2br w:val="nil"/>
              <w:tr2bl w:val="nil"/>
            </w:tcBorders>
            <w:vAlign w:val="center"/>
          </w:tcPr>
          <w:p>
            <w:pPr>
              <w:pStyle w:val="11"/>
              <w:rPr>
                <w:sz w:val="24"/>
                <w:szCs w:val="24"/>
              </w:rPr>
            </w:pPr>
            <w:r>
              <w:rPr>
                <w:sz w:val="24"/>
                <w:szCs w:val="24"/>
              </w:rPr>
              <w:t>0</w:t>
            </w:r>
          </w:p>
        </w:tc>
        <w:tc>
          <w:tcPr>
            <w:tcW w:w="1962" w:type="dxa"/>
            <w:tcBorders>
              <w:top w:val="single" w:color="auto" w:sz="4" w:space="0"/>
              <w:left w:val="single" w:color="auto" w:sz="4" w:space="0"/>
              <w:bottom w:val="single" w:color="auto" w:sz="4" w:space="0"/>
              <w:right w:val="single" w:color="auto" w:sz="4" w:space="0"/>
              <w:tl2br w:val="nil"/>
              <w:tr2bl w:val="nil"/>
            </w:tcBorders>
            <w:vAlign w:val="center"/>
          </w:tcPr>
          <w:p>
            <w:pPr>
              <w:pStyle w:val="11"/>
              <w:rPr>
                <w:sz w:val="24"/>
                <w:szCs w:val="24"/>
              </w:rPr>
            </w:pPr>
            <w:r>
              <w:rPr>
                <w:rFonts w:eastAsia="等线"/>
                <w:sz w:val="24"/>
                <w:szCs w:val="24"/>
              </w:rPr>
              <w:t>1.11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83" w:type="dxa"/>
            <w:tcBorders>
              <w:top w:val="single" w:color="auto" w:sz="4" w:space="0"/>
              <w:left w:val="single" w:color="auto" w:sz="4" w:space="0"/>
              <w:bottom w:val="single" w:color="auto" w:sz="4" w:space="0"/>
              <w:right w:val="single" w:color="auto" w:sz="4" w:space="0"/>
              <w:tl2br w:val="nil"/>
              <w:tr2bl w:val="nil"/>
            </w:tcBorders>
            <w:vAlign w:val="center"/>
          </w:tcPr>
          <w:p>
            <w:pPr>
              <w:pStyle w:val="11"/>
              <w:rPr>
                <w:sz w:val="24"/>
                <w:szCs w:val="24"/>
              </w:rPr>
            </w:pPr>
            <w:r>
              <w:rPr>
                <w:sz w:val="24"/>
                <w:szCs w:val="24"/>
              </w:rPr>
              <w:t>凤江镇</w:t>
            </w:r>
          </w:p>
        </w:tc>
        <w:tc>
          <w:tcPr>
            <w:tcW w:w="1406" w:type="dxa"/>
            <w:tcBorders>
              <w:top w:val="single" w:color="auto" w:sz="4" w:space="0"/>
              <w:left w:val="single" w:color="auto" w:sz="4" w:space="0"/>
              <w:bottom w:val="single" w:color="auto" w:sz="4" w:space="0"/>
              <w:right w:val="single" w:color="auto" w:sz="4" w:space="0"/>
              <w:tl2br w:val="nil"/>
              <w:tr2bl w:val="nil"/>
            </w:tcBorders>
            <w:vAlign w:val="center"/>
          </w:tcPr>
          <w:p>
            <w:pPr>
              <w:pStyle w:val="11"/>
              <w:rPr>
                <w:sz w:val="24"/>
                <w:szCs w:val="24"/>
              </w:rPr>
            </w:pPr>
            <w:r>
              <w:rPr>
                <w:sz w:val="24"/>
                <w:szCs w:val="24"/>
              </w:rPr>
              <w:t>12.30</w:t>
            </w:r>
          </w:p>
        </w:tc>
        <w:tc>
          <w:tcPr>
            <w:tcW w:w="1802" w:type="dxa"/>
            <w:tcBorders>
              <w:top w:val="single" w:color="auto" w:sz="4" w:space="0"/>
              <w:left w:val="single" w:color="auto" w:sz="4" w:space="0"/>
              <w:bottom w:val="single" w:color="auto" w:sz="4" w:space="0"/>
              <w:right w:val="single" w:color="auto" w:sz="4" w:space="0"/>
              <w:tl2br w:val="nil"/>
              <w:tr2bl w:val="nil"/>
            </w:tcBorders>
            <w:vAlign w:val="center"/>
          </w:tcPr>
          <w:p>
            <w:pPr>
              <w:pStyle w:val="11"/>
              <w:rPr>
                <w:sz w:val="24"/>
                <w:szCs w:val="24"/>
              </w:rPr>
            </w:pPr>
            <w:r>
              <w:rPr>
                <w:rFonts w:hint="eastAsia"/>
                <w:sz w:val="24"/>
                <w:szCs w:val="24"/>
              </w:rPr>
              <w:t>12.07</w:t>
            </w:r>
          </w:p>
        </w:tc>
        <w:tc>
          <w:tcPr>
            <w:tcW w:w="1969" w:type="dxa"/>
            <w:tcBorders>
              <w:top w:val="single" w:color="auto" w:sz="4" w:space="0"/>
              <w:left w:val="single" w:color="auto" w:sz="4" w:space="0"/>
              <w:bottom w:val="single" w:color="auto" w:sz="4" w:space="0"/>
              <w:right w:val="single" w:color="auto" w:sz="4" w:space="0"/>
              <w:tl2br w:val="nil"/>
              <w:tr2bl w:val="nil"/>
            </w:tcBorders>
            <w:vAlign w:val="center"/>
          </w:tcPr>
          <w:p>
            <w:pPr>
              <w:pStyle w:val="11"/>
              <w:rPr>
                <w:sz w:val="24"/>
                <w:szCs w:val="24"/>
              </w:rPr>
            </w:pPr>
            <w:r>
              <w:rPr>
                <w:sz w:val="24"/>
                <w:szCs w:val="24"/>
              </w:rPr>
              <w:t>0</w:t>
            </w:r>
          </w:p>
        </w:tc>
        <w:tc>
          <w:tcPr>
            <w:tcW w:w="1962" w:type="dxa"/>
            <w:tcBorders>
              <w:top w:val="single" w:color="auto" w:sz="4" w:space="0"/>
              <w:left w:val="single" w:color="auto" w:sz="4" w:space="0"/>
              <w:bottom w:val="single" w:color="auto" w:sz="4" w:space="0"/>
              <w:right w:val="single" w:color="auto" w:sz="4" w:space="0"/>
              <w:tl2br w:val="nil"/>
              <w:tr2bl w:val="nil"/>
            </w:tcBorders>
            <w:vAlign w:val="center"/>
          </w:tcPr>
          <w:p>
            <w:pPr>
              <w:pStyle w:val="11"/>
              <w:rPr>
                <w:sz w:val="24"/>
                <w:szCs w:val="24"/>
              </w:rPr>
            </w:pPr>
            <w:r>
              <w:rPr>
                <w:rFonts w:eastAsia="等线"/>
                <w:sz w:val="24"/>
                <w:szCs w:val="24"/>
              </w:rPr>
              <w:t>1.87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83" w:type="dxa"/>
            <w:tcBorders>
              <w:top w:val="single" w:color="auto" w:sz="4" w:space="0"/>
              <w:left w:val="single" w:color="auto" w:sz="4" w:space="0"/>
              <w:bottom w:val="single" w:color="auto" w:sz="4" w:space="0"/>
              <w:right w:val="single" w:color="auto" w:sz="4" w:space="0"/>
              <w:tl2br w:val="nil"/>
              <w:tr2bl w:val="nil"/>
            </w:tcBorders>
            <w:vAlign w:val="center"/>
          </w:tcPr>
          <w:p>
            <w:pPr>
              <w:pStyle w:val="11"/>
              <w:rPr>
                <w:sz w:val="24"/>
                <w:szCs w:val="24"/>
              </w:rPr>
            </w:pPr>
            <w:r>
              <w:rPr>
                <w:sz w:val="24"/>
                <w:szCs w:val="24"/>
              </w:rPr>
              <w:t>棉湖镇</w:t>
            </w:r>
          </w:p>
        </w:tc>
        <w:tc>
          <w:tcPr>
            <w:tcW w:w="1406" w:type="dxa"/>
            <w:tcBorders>
              <w:top w:val="single" w:color="auto" w:sz="4" w:space="0"/>
              <w:left w:val="single" w:color="auto" w:sz="4" w:space="0"/>
              <w:bottom w:val="single" w:color="auto" w:sz="4" w:space="0"/>
              <w:right w:val="single" w:color="auto" w:sz="4" w:space="0"/>
              <w:tl2br w:val="nil"/>
              <w:tr2bl w:val="nil"/>
            </w:tcBorders>
            <w:vAlign w:val="center"/>
          </w:tcPr>
          <w:p>
            <w:pPr>
              <w:pStyle w:val="11"/>
              <w:rPr>
                <w:sz w:val="24"/>
                <w:szCs w:val="24"/>
              </w:rPr>
            </w:pPr>
            <w:r>
              <w:rPr>
                <w:sz w:val="24"/>
                <w:szCs w:val="24"/>
              </w:rPr>
              <w:t>6.53</w:t>
            </w:r>
          </w:p>
        </w:tc>
        <w:tc>
          <w:tcPr>
            <w:tcW w:w="1802" w:type="dxa"/>
            <w:tcBorders>
              <w:top w:val="single" w:color="auto" w:sz="4" w:space="0"/>
              <w:left w:val="single" w:color="auto" w:sz="4" w:space="0"/>
              <w:bottom w:val="single" w:color="auto" w:sz="4" w:space="0"/>
              <w:right w:val="single" w:color="auto" w:sz="4" w:space="0"/>
              <w:tl2br w:val="nil"/>
              <w:tr2bl w:val="nil"/>
            </w:tcBorders>
            <w:vAlign w:val="center"/>
          </w:tcPr>
          <w:p>
            <w:pPr>
              <w:pStyle w:val="11"/>
              <w:rPr>
                <w:sz w:val="24"/>
                <w:szCs w:val="24"/>
              </w:rPr>
            </w:pPr>
            <w:r>
              <w:rPr>
                <w:sz w:val="24"/>
                <w:szCs w:val="24"/>
              </w:rPr>
              <w:t>6.1</w:t>
            </w:r>
            <w:r>
              <w:rPr>
                <w:rFonts w:hint="eastAsia"/>
                <w:sz w:val="24"/>
                <w:szCs w:val="24"/>
              </w:rPr>
              <w:t>6</w:t>
            </w:r>
          </w:p>
        </w:tc>
        <w:tc>
          <w:tcPr>
            <w:tcW w:w="1969" w:type="dxa"/>
            <w:tcBorders>
              <w:top w:val="single" w:color="auto" w:sz="4" w:space="0"/>
              <w:left w:val="single" w:color="auto" w:sz="4" w:space="0"/>
              <w:bottom w:val="single" w:color="auto" w:sz="4" w:space="0"/>
              <w:right w:val="single" w:color="auto" w:sz="4" w:space="0"/>
              <w:tl2br w:val="nil"/>
              <w:tr2bl w:val="nil"/>
            </w:tcBorders>
            <w:vAlign w:val="center"/>
          </w:tcPr>
          <w:p>
            <w:pPr>
              <w:pStyle w:val="11"/>
              <w:rPr>
                <w:sz w:val="24"/>
                <w:szCs w:val="24"/>
              </w:rPr>
            </w:pPr>
            <w:r>
              <w:rPr>
                <w:sz w:val="24"/>
                <w:szCs w:val="24"/>
              </w:rPr>
              <w:t>0</w:t>
            </w:r>
          </w:p>
        </w:tc>
        <w:tc>
          <w:tcPr>
            <w:tcW w:w="1962" w:type="dxa"/>
            <w:tcBorders>
              <w:top w:val="single" w:color="auto" w:sz="4" w:space="0"/>
              <w:left w:val="single" w:color="auto" w:sz="4" w:space="0"/>
              <w:bottom w:val="single" w:color="auto" w:sz="4" w:space="0"/>
              <w:right w:val="single" w:color="auto" w:sz="4" w:space="0"/>
              <w:tl2br w:val="nil"/>
              <w:tr2bl w:val="nil"/>
            </w:tcBorders>
            <w:vAlign w:val="center"/>
          </w:tcPr>
          <w:p>
            <w:pPr>
              <w:pStyle w:val="11"/>
              <w:rPr>
                <w:sz w:val="24"/>
                <w:szCs w:val="24"/>
              </w:rPr>
            </w:pPr>
            <w:r>
              <w:rPr>
                <w:rFonts w:eastAsia="等线"/>
                <w:sz w:val="24"/>
                <w:szCs w:val="24"/>
              </w:rPr>
              <w:t>8.47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83" w:type="dxa"/>
            <w:tcBorders>
              <w:top w:val="single" w:color="auto" w:sz="4" w:space="0"/>
              <w:left w:val="single" w:color="auto" w:sz="4" w:space="0"/>
              <w:bottom w:val="single" w:color="auto" w:sz="4" w:space="0"/>
              <w:right w:val="single" w:color="auto" w:sz="4" w:space="0"/>
              <w:tl2br w:val="nil"/>
              <w:tr2bl w:val="nil"/>
            </w:tcBorders>
            <w:vAlign w:val="center"/>
          </w:tcPr>
          <w:p>
            <w:pPr>
              <w:pStyle w:val="11"/>
              <w:rPr>
                <w:sz w:val="24"/>
                <w:szCs w:val="24"/>
              </w:rPr>
            </w:pPr>
            <w:r>
              <w:rPr>
                <w:sz w:val="24"/>
                <w:szCs w:val="24"/>
              </w:rPr>
              <w:t>金和镇</w:t>
            </w:r>
          </w:p>
        </w:tc>
        <w:tc>
          <w:tcPr>
            <w:tcW w:w="1406" w:type="dxa"/>
            <w:tcBorders>
              <w:top w:val="single" w:color="auto" w:sz="4" w:space="0"/>
              <w:left w:val="single" w:color="auto" w:sz="4" w:space="0"/>
              <w:bottom w:val="single" w:color="auto" w:sz="4" w:space="0"/>
              <w:right w:val="single" w:color="auto" w:sz="4" w:space="0"/>
              <w:tl2br w:val="nil"/>
              <w:tr2bl w:val="nil"/>
            </w:tcBorders>
            <w:vAlign w:val="center"/>
          </w:tcPr>
          <w:p>
            <w:pPr>
              <w:pStyle w:val="11"/>
              <w:rPr>
                <w:sz w:val="24"/>
                <w:szCs w:val="24"/>
              </w:rPr>
            </w:pPr>
            <w:r>
              <w:rPr>
                <w:sz w:val="24"/>
                <w:szCs w:val="24"/>
              </w:rPr>
              <w:t>12.97</w:t>
            </w:r>
          </w:p>
        </w:tc>
        <w:tc>
          <w:tcPr>
            <w:tcW w:w="1802" w:type="dxa"/>
            <w:tcBorders>
              <w:top w:val="single" w:color="auto" w:sz="4" w:space="0"/>
              <w:left w:val="single" w:color="auto" w:sz="4" w:space="0"/>
              <w:bottom w:val="single" w:color="auto" w:sz="4" w:space="0"/>
              <w:right w:val="single" w:color="auto" w:sz="4" w:space="0"/>
              <w:tl2br w:val="nil"/>
              <w:tr2bl w:val="nil"/>
            </w:tcBorders>
            <w:vAlign w:val="center"/>
          </w:tcPr>
          <w:p>
            <w:pPr>
              <w:pStyle w:val="11"/>
              <w:rPr>
                <w:sz w:val="24"/>
                <w:szCs w:val="24"/>
              </w:rPr>
            </w:pPr>
            <w:r>
              <w:rPr>
                <w:sz w:val="24"/>
                <w:szCs w:val="24"/>
              </w:rPr>
              <w:t>12.</w:t>
            </w:r>
            <w:r>
              <w:rPr>
                <w:rFonts w:hint="eastAsia"/>
                <w:sz w:val="24"/>
                <w:szCs w:val="24"/>
              </w:rPr>
              <w:t>33</w:t>
            </w:r>
          </w:p>
        </w:tc>
        <w:tc>
          <w:tcPr>
            <w:tcW w:w="1969" w:type="dxa"/>
            <w:tcBorders>
              <w:top w:val="single" w:color="auto" w:sz="4" w:space="0"/>
              <w:left w:val="single" w:color="auto" w:sz="4" w:space="0"/>
              <w:bottom w:val="single" w:color="auto" w:sz="4" w:space="0"/>
              <w:right w:val="single" w:color="auto" w:sz="4" w:space="0"/>
              <w:tl2br w:val="nil"/>
              <w:tr2bl w:val="nil"/>
            </w:tcBorders>
            <w:vAlign w:val="center"/>
          </w:tcPr>
          <w:p>
            <w:pPr>
              <w:pStyle w:val="11"/>
              <w:rPr>
                <w:sz w:val="24"/>
                <w:szCs w:val="24"/>
              </w:rPr>
            </w:pPr>
            <w:r>
              <w:rPr>
                <w:sz w:val="24"/>
                <w:szCs w:val="24"/>
              </w:rPr>
              <w:t>0</w:t>
            </w:r>
          </w:p>
        </w:tc>
        <w:tc>
          <w:tcPr>
            <w:tcW w:w="1962" w:type="dxa"/>
            <w:tcBorders>
              <w:top w:val="single" w:color="auto" w:sz="4" w:space="0"/>
              <w:left w:val="single" w:color="auto" w:sz="4" w:space="0"/>
              <w:bottom w:val="single" w:color="auto" w:sz="4" w:space="0"/>
              <w:right w:val="single" w:color="auto" w:sz="4" w:space="0"/>
              <w:tl2br w:val="nil"/>
              <w:tr2bl w:val="nil"/>
            </w:tcBorders>
            <w:vAlign w:val="center"/>
          </w:tcPr>
          <w:p>
            <w:pPr>
              <w:pStyle w:val="11"/>
              <w:rPr>
                <w:sz w:val="24"/>
                <w:szCs w:val="24"/>
              </w:rPr>
            </w:pPr>
            <w:r>
              <w:rPr>
                <w:rFonts w:eastAsia="等线"/>
                <w:sz w:val="24"/>
                <w:szCs w:val="24"/>
              </w:rPr>
              <w:t>4.38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83" w:type="dxa"/>
            <w:tcBorders>
              <w:top w:val="single" w:color="auto" w:sz="4" w:space="0"/>
              <w:left w:val="single" w:color="auto" w:sz="4" w:space="0"/>
              <w:bottom w:val="single" w:color="auto" w:sz="4" w:space="0"/>
              <w:right w:val="single" w:color="auto" w:sz="4" w:space="0"/>
              <w:tl2br w:val="nil"/>
              <w:tr2bl w:val="nil"/>
            </w:tcBorders>
            <w:vAlign w:val="center"/>
          </w:tcPr>
          <w:p>
            <w:pPr>
              <w:pStyle w:val="11"/>
              <w:rPr>
                <w:sz w:val="24"/>
                <w:szCs w:val="24"/>
              </w:rPr>
            </w:pPr>
            <w:r>
              <w:rPr>
                <w:sz w:val="24"/>
                <w:szCs w:val="24"/>
              </w:rPr>
              <w:t>大溪镇</w:t>
            </w:r>
          </w:p>
        </w:tc>
        <w:tc>
          <w:tcPr>
            <w:tcW w:w="1406" w:type="dxa"/>
            <w:tcBorders>
              <w:top w:val="single" w:color="auto" w:sz="4" w:space="0"/>
              <w:left w:val="single" w:color="auto" w:sz="4" w:space="0"/>
              <w:bottom w:val="single" w:color="auto" w:sz="4" w:space="0"/>
              <w:right w:val="single" w:color="auto" w:sz="4" w:space="0"/>
              <w:tl2br w:val="nil"/>
              <w:tr2bl w:val="nil"/>
            </w:tcBorders>
            <w:vAlign w:val="center"/>
          </w:tcPr>
          <w:p>
            <w:pPr>
              <w:pStyle w:val="11"/>
              <w:rPr>
                <w:sz w:val="24"/>
                <w:szCs w:val="24"/>
              </w:rPr>
            </w:pPr>
            <w:r>
              <w:rPr>
                <w:sz w:val="24"/>
                <w:szCs w:val="24"/>
              </w:rPr>
              <w:t>4.30</w:t>
            </w:r>
          </w:p>
        </w:tc>
        <w:tc>
          <w:tcPr>
            <w:tcW w:w="1802" w:type="dxa"/>
            <w:tcBorders>
              <w:top w:val="single" w:color="auto" w:sz="4" w:space="0"/>
              <w:left w:val="single" w:color="auto" w:sz="4" w:space="0"/>
              <w:bottom w:val="single" w:color="auto" w:sz="4" w:space="0"/>
              <w:right w:val="single" w:color="auto" w:sz="4" w:space="0"/>
              <w:tl2br w:val="nil"/>
              <w:tr2bl w:val="nil"/>
            </w:tcBorders>
            <w:vAlign w:val="center"/>
          </w:tcPr>
          <w:p>
            <w:pPr>
              <w:pStyle w:val="11"/>
              <w:rPr>
                <w:sz w:val="24"/>
                <w:szCs w:val="24"/>
              </w:rPr>
            </w:pPr>
            <w:r>
              <w:rPr>
                <w:sz w:val="24"/>
                <w:szCs w:val="24"/>
              </w:rPr>
              <w:t>4.2</w:t>
            </w:r>
            <w:r>
              <w:rPr>
                <w:rFonts w:hint="eastAsia"/>
                <w:sz w:val="24"/>
                <w:szCs w:val="24"/>
              </w:rPr>
              <w:t>2</w:t>
            </w:r>
          </w:p>
        </w:tc>
        <w:tc>
          <w:tcPr>
            <w:tcW w:w="1969" w:type="dxa"/>
            <w:tcBorders>
              <w:top w:val="single" w:color="auto" w:sz="4" w:space="0"/>
              <w:left w:val="single" w:color="auto" w:sz="4" w:space="0"/>
              <w:bottom w:val="single" w:color="auto" w:sz="4" w:space="0"/>
              <w:right w:val="single" w:color="auto" w:sz="4" w:space="0"/>
              <w:tl2br w:val="nil"/>
              <w:tr2bl w:val="nil"/>
            </w:tcBorders>
            <w:vAlign w:val="center"/>
          </w:tcPr>
          <w:p>
            <w:pPr>
              <w:pStyle w:val="11"/>
              <w:rPr>
                <w:sz w:val="24"/>
                <w:szCs w:val="24"/>
              </w:rPr>
            </w:pPr>
            <w:r>
              <w:rPr>
                <w:sz w:val="24"/>
                <w:szCs w:val="24"/>
              </w:rPr>
              <w:t>0</w:t>
            </w:r>
          </w:p>
        </w:tc>
        <w:tc>
          <w:tcPr>
            <w:tcW w:w="1962" w:type="dxa"/>
            <w:tcBorders>
              <w:top w:val="single" w:color="auto" w:sz="4" w:space="0"/>
              <w:left w:val="single" w:color="auto" w:sz="4" w:space="0"/>
              <w:bottom w:val="single" w:color="auto" w:sz="4" w:space="0"/>
              <w:right w:val="single" w:color="auto" w:sz="4" w:space="0"/>
              <w:tl2br w:val="nil"/>
              <w:tr2bl w:val="nil"/>
            </w:tcBorders>
            <w:vAlign w:val="center"/>
          </w:tcPr>
          <w:p>
            <w:pPr>
              <w:pStyle w:val="11"/>
              <w:rPr>
                <w:sz w:val="24"/>
                <w:szCs w:val="24"/>
              </w:rPr>
            </w:pPr>
            <w:r>
              <w:rPr>
                <w:rFonts w:eastAsia="等线"/>
                <w:sz w:val="24"/>
                <w:szCs w:val="24"/>
              </w:rPr>
              <w:t>0.27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83" w:type="dxa"/>
            <w:tcBorders>
              <w:top w:val="single" w:color="auto" w:sz="4" w:space="0"/>
              <w:left w:val="single" w:color="auto" w:sz="4" w:space="0"/>
              <w:bottom w:val="single" w:color="auto" w:sz="4" w:space="0"/>
              <w:right w:val="single" w:color="auto" w:sz="4" w:space="0"/>
              <w:tl2br w:val="nil"/>
              <w:tr2bl w:val="nil"/>
            </w:tcBorders>
            <w:vAlign w:val="center"/>
          </w:tcPr>
          <w:p>
            <w:pPr>
              <w:pStyle w:val="11"/>
              <w:rPr>
                <w:sz w:val="24"/>
                <w:szCs w:val="24"/>
              </w:rPr>
            </w:pPr>
            <w:r>
              <w:rPr>
                <w:sz w:val="24"/>
                <w:szCs w:val="24"/>
              </w:rPr>
              <w:t>钱坑镇</w:t>
            </w:r>
          </w:p>
        </w:tc>
        <w:tc>
          <w:tcPr>
            <w:tcW w:w="1406" w:type="dxa"/>
            <w:tcBorders>
              <w:top w:val="single" w:color="auto" w:sz="4" w:space="0"/>
              <w:left w:val="single" w:color="auto" w:sz="4" w:space="0"/>
              <w:bottom w:val="single" w:color="auto" w:sz="4" w:space="0"/>
              <w:right w:val="single" w:color="auto" w:sz="4" w:space="0"/>
              <w:tl2br w:val="nil"/>
              <w:tr2bl w:val="nil"/>
            </w:tcBorders>
            <w:vAlign w:val="center"/>
          </w:tcPr>
          <w:p>
            <w:pPr>
              <w:pStyle w:val="11"/>
              <w:rPr>
                <w:sz w:val="24"/>
                <w:szCs w:val="24"/>
              </w:rPr>
            </w:pPr>
            <w:r>
              <w:rPr>
                <w:sz w:val="24"/>
                <w:szCs w:val="24"/>
              </w:rPr>
              <w:t>4.91</w:t>
            </w:r>
          </w:p>
        </w:tc>
        <w:tc>
          <w:tcPr>
            <w:tcW w:w="1802" w:type="dxa"/>
            <w:tcBorders>
              <w:top w:val="single" w:color="auto" w:sz="4" w:space="0"/>
              <w:left w:val="single" w:color="auto" w:sz="4" w:space="0"/>
              <w:bottom w:val="single" w:color="auto" w:sz="4" w:space="0"/>
              <w:right w:val="single" w:color="auto" w:sz="4" w:space="0"/>
              <w:tl2br w:val="nil"/>
              <w:tr2bl w:val="nil"/>
            </w:tcBorders>
            <w:vAlign w:val="center"/>
          </w:tcPr>
          <w:p>
            <w:pPr>
              <w:pStyle w:val="11"/>
              <w:rPr>
                <w:sz w:val="24"/>
                <w:szCs w:val="24"/>
              </w:rPr>
            </w:pPr>
            <w:r>
              <w:rPr>
                <w:sz w:val="24"/>
                <w:szCs w:val="24"/>
              </w:rPr>
              <w:t>4.52</w:t>
            </w:r>
          </w:p>
        </w:tc>
        <w:tc>
          <w:tcPr>
            <w:tcW w:w="1969" w:type="dxa"/>
            <w:tcBorders>
              <w:top w:val="single" w:color="auto" w:sz="4" w:space="0"/>
              <w:left w:val="single" w:color="auto" w:sz="4" w:space="0"/>
              <w:bottom w:val="single" w:color="auto" w:sz="4" w:space="0"/>
              <w:right w:val="single" w:color="auto" w:sz="4" w:space="0"/>
              <w:tl2br w:val="nil"/>
              <w:tr2bl w:val="nil"/>
            </w:tcBorders>
            <w:vAlign w:val="center"/>
          </w:tcPr>
          <w:p>
            <w:pPr>
              <w:pStyle w:val="11"/>
              <w:rPr>
                <w:sz w:val="24"/>
                <w:szCs w:val="24"/>
              </w:rPr>
            </w:pPr>
            <w:r>
              <w:rPr>
                <w:rFonts w:eastAsia="等线"/>
                <w:sz w:val="24"/>
                <w:szCs w:val="24"/>
              </w:rPr>
              <w:t>1.48</w:t>
            </w:r>
          </w:p>
        </w:tc>
        <w:tc>
          <w:tcPr>
            <w:tcW w:w="1962" w:type="dxa"/>
            <w:tcBorders>
              <w:top w:val="single" w:color="auto" w:sz="4" w:space="0"/>
              <w:left w:val="single" w:color="auto" w:sz="4" w:space="0"/>
              <w:bottom w:val="single" w:color="auto" w:sz="4" w:space="0"/>
              <w:right w:val="single" w:color="auto" w:sz="4" w:space="0"/>
              <w:tl2br w:val="nil"/>
              <w:tr2bl w:val="nil"/>
            </w:tcBorders>
            <w:vAlign w:val="center"/>
          </w:tcPr>
          <w:p>
            <w:pPr>
              <w:pStyle w:val="11"/>
              <w:rPr>
                <w:sz w:val="24"/>
                <w:szCs w:val="24"/>
              </w:rPr>
            </w:pPr>
            <w:r>
              <w:rPr>
                <w:rFonts w:eastAsia="等线"/>
                <w:sz w:val="24"/>
                <w:szCs w:val="24"/>
              </w:rPr>
              <w:t>1.97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83" w:type="dxa"/>
            <w:tcBorders>
              <w:top w:val="single" w:color="auto" w:sz="4" w:space="0"/>
              <w:left w:val="single" w:color="auto" w:sz="4" w:space="0"/>
              <w:bottom w:val="single" w:color="auto" w:sz="4" w:space="0"/>
              <w:right w:val="single" w:color="auto" w:sz="4" w:space="0"/>
              <w:tl2br w:val="nil"/>
              <w:tr2bl w:val="nil"/>
            </w:tcBorders>
            <w:vAlign w:val="center"/>
          </w:tcPr>
          <w:p>
            <w:pPr>
              <w:pStyle w:val="11"/>
              <w:rPr>
                <w:sz w:val="24"/>
                <w:szCs w:val="24"/>
              </w:rPr>
            </w:pPr>
            <w:r>
              <w:rPr>
                <w:sz w:val="24"/>
                <w:szCs w:val="24"/>
              </w:rPr>
              <w:t>坪上镇</w:t>
            </w:r>
          </w:p>
        </w:tc>
        <w:tc>
          <w:tcPr>
            <w:tcW w:w="1406" w:type="dxa"/>
            <w:tcBorders>
              <w:top w:val="single" w:color="auto" w:sz="4" w:space="0"/>
              <w:left w:val="single" w:color="auto" w:sz="4" w:space="0"/>
              <w:bottom w:val="single" w:color="auto" w:sz="4" w:space="0"/>
              <w:right w:val="single" w:color="auto" w:sz="4" w:space="0"/>
              <w:tl2br w:val="nil"/>
              <w:tr2bl w:val="nil"/>
            </w:tcBorders>
            <w:vAlign w:val="center"/>
          </w:tcPr>
          <w:p>
            <w:pPr>
              <w:pStyle w:val="11"/>
              <w:rPr>
                <w:sz w:val="24"/>
                <w:szCs w:val="24"/>
              </w:rPr>
            </w:pPr>
            <w:r>
              <w:rPr>
                <w:sz w:val="24"/>
                <w:szCs w:val="24"/>
              </w:rPr>
              <w:t>7.41</w:t>
            </w:r>
          </w:p>
        </w:tc>
        <w:tc>
          <w:tcPr>
            <w:tcW w:w="1802" w:type="dxa"/>
            <w:tcBorders>
              <w:top w:val="single" w:color="auto" w:sz="4" w:space="0"/>
              <w:left w:val="single" w:color="auto" w:sz="4" w:space="0"/>
              <w:bottom w:val="single" w:color="auto" w:sz="4" w:space="0"/>
              <w:right w:val="single" w:color="auto" w:sz="4" w:space="0"/>
              <w:tl2br w:val="nil"/>
              <w:tr2bl w:val="nil"/>
            </w:tcBorders>
            <w:vAlign w:val="center"/>
          </w:tcPr>
          <w:p>
            <w:pPr>
              <w:pStyle w:val="11"/>
              <w:rPr>
                <w:sz w:val="24"/>
                <w:szCs w:val="24"/>
              </w:rPr>
            </w:pPr>
            <w:r>
              <w:rPr>
                <w:rFonts w:hint="eastAsia"/>
                <w:sz w:val="24"/>
                <w:szCs w:val="24"/>
              </w:rPr>
              <w:t>7.26</w:t>
            </w:r>
          </w:p>
        </w:tc>
        <w:tc>
          <w:tcPr>
            <w:tcW w:w="1969" w:type="dxa"/>
            <w:tcBorders>
              <w:top w:val="single" w:color="auto" w:sz="4" w:space="0"/>
              <w:left w:val="single" w:color="auto" w:sz="4" w:space="0"/>
              <w:bottom w:val="single" w:color="auto" w:sz="4" w:space="0"/>
              <w:right w:val="single" w:color="auto" w:sz="4" w:space="0"/>
              <w:tl2br w:val="nil"/>
              <w:tr2bl w:val="nil"/>
            </w:tcBorders>
            <w:vAlign w:val="center"/>
          </w:tcPr>
          <w:p>
            <w:pPr>
              <w:pStyle w:val="11"/>
              <w:rPr>
                <w:sz w:val="24"/>
                <w:szCs w:val="24"/>
              </w:rPr>
            </w:pPr>
            <w:r>
              <w:rPr>
                <w:rFonts w:eastAsia="等线"/>
                <w:sz w:val="24"/>
                <w:szCs w:val="24"/>
              </w:rPr>
              <w:t>10.44</w:t>
            </w:r>
          </w:p>
        </w:tc>
        <w:tc>
          <w:tcPr>
            <w:tcW w:w="1962" w:type="dxa"/>
            <w:tcBorders>
              <w:top w:val="single" w:color="auto" w:sz="4" w:space="0"/>
              <w:left w:val="single" w:color="auto" w:sz="4" w:space="0"/>
              <w:bottom w:val="single" w:color="auto" w:sz="4" w:space="0"/>
              <w:right w:val="single" w:color="auto" w:sz="4" w:space="0"/>
              <w:tl2br w:val="nil"/>
              <w:tr2bl w:val="nil"/>
            </w:tcBorders>
            <w:vAlign w:val="center"/>
          </w:tcPr>
          <w:p>
            <w:pPr>
              <w:pStyle w:val="11"/>
              <w:rPr>
                <w:sz w:val="24"/>
                <w:szCs w:val="24"/>
              </w:rPr>
            </w:pPr>
            <w:r>
              <w:rPr>
                <w:rFonts w:eastAsia="等线"/>
                <w:sz w:val="24"/>
                <w:szCs w:val="24"/>
              </w:rPr>
              <w:t>1.31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83" w:type="dxa"/>
            <w:tcBorders>
              <w:top w:val="single" w:color="auto" w:sz="4" w:space="0"/>
              <w:left w:val="single" w:color="auto" w:sz="4" w:space="0"/>
              <w:bottom w:val="single" w:color="auto" w:sz="4" w:space="0"/>
              <w:right w:val="single" w:color="auto" w:sz="4" w:space="0"/>
              <w:tl2br w:val="nil"/>
              <w:tr2bl w:val="nil"/>
            </w:tcBorders>
            <w:vAlign w:val="center"/>
          </w:tcPr>
          <w:p>
            <w:pPr>
              <w:pStyle w:val="11"/>
              <w:rPr>
                <w:sz w:val="24"/>
                <w:szCs w:val="24"/>
              </w:rPr>
            </w:pPr>
            <w:r>
              <w:rPr>
                <w:sz w:val="24"/>
                <w:szCs w:val="24"/>
              </w:rPr>
              <w:t>五云镇</w:t>
            </w:r>
          </w:p>
        </w:tc>
        <w:tc>
          <w:tcPr>
            <w:tcW w:w="1406" w:type="dxa"/>
            <w:tcBorders>
              <w:top w:val="single" w:color="auto" w:sz="4" w:space="0"/>
              <w:left w:val="single" w:color="auto" w:sz="4" w:space="0"/>
              <w:bottom w:val="single" w:color="auto" w:sz="4" w:space="0"/>
              <w:right w:val="single" w:color="auto" w:sz="4" w:space="0"/>
              <w:tl2br w:val="nil"/>
              <w:tr2bl w:val="nil"/>
            </w:tcBorders>
            <w:vAlign w:val="center"/>
          </w:tcPr>
          <w:p>
            <w:pPr>
              <w:pStyle w:val="11"/>
              <w:rPr>
                <w:sz w:val="24"/>
                <w:szCs w:val="24"/>
              </w:rPr>
            </w:pPr>
            <w:r>
              <w:rPr>
                <w:sz w:val="24"/>
                <w:szCs w:val="24"/>
              </w:rPr>
              <w:t>11.60</w:t>
            </w:r>
          </w:p>
        </w:tc>
        <w:tc>
          <w:tcPr>
            <w:tcW w:w="1802" w:type="dxa"/>
            <w:tcBorders>
              <w:top w:val="single" w:color="auto" w:sz="4" w:space="0"/>
              <w:left w:val="single" w:color="auto" w:sz="4" w:space="0"/>
              <w:bottom w:val="single" w:color="auto" w:sz="4" w:space="0"/>
              <w:right w:val="single" w:color="auto" w:sz="4" w:space="0"/>
              <w:tl2br w:val="nil"/>
              <w:tr2bl w:val="nil"/>
            </w:tcBorders>
            <w:vAlign w:val="center"/>
          </w:tcPr>
          <w:p>
            <w:pPr>
              <w:pStyle w:val="11"/>
              <w:rPr>
                <w:sz w:val="24"/>
                <w:szCs w:val="24"/>
              </w:rPr>
            </w:pPr>
            <w:r>
              <w:rPr>
                <w:rFonts w:hint="eastAsia"/>
                <w:sz w:val="24"/>
                <w:szCs w:val="24"/>
              </w:rPr>
              <w:t>11.00</w:t>
            </w:r>
          </w:p>
        </w:tc>
        <w:tc>
          <w:tcPr>
            <w:tcW w:w="1969" w:type="dxa"/>
            <w:tcBorders>
              <w:top w:val="single" w:color="auto" w:sz="4" w:space="0"/>
              <w:left w:val="single" w:color="auto" w:sz="4" w:space="0"/>
              <w:bottom w:val="single" w:color="auto" w:sz="4" w:space="0"/>
              <w:right w:val="single" w:color="auto" w:sz="4" w:space="0"/>
              <w:tl2br w:val="nil"/>
              <w:tr2bl w:val="nil"/>
            </w:tcBorders>
            <w:vAlign w:val="center"/>
          </w:tcPr>
          <w:p>
            <w:pPr>
              <w:pStyle w:val="11"/>
              <w:rPr>
                <w:sz w:val="24"/>
                <w:szCs w:val="24"/>
              </w:rPr>
            </w:pPr>
            <w:r>
              <w:rPr>
                <w:rFonts w:eastAsia="等线"/>
                <w:sz w:val="24"/>
                <w:szCs w:val="24"/>
              </w:rPr>
              <w:t>13.69</w:t>
            </w:r>
          </w:p>
        </w:tc>
        <w:tc>
          <w:tcPr>
            <w:tcW w:w="1962" w:type="dxa"/>
            <w:tcBorders>
              <w:top w:val="single" w:color="auto" w:sz="4" w:space="0"/>
              <w:left w:val="single" w:color="auto" w:sz="4" w:space="0"/>
              <w:bottom w:val="single" w:color="auto" w:sz="4" w:space="0"/>
              <w:right w:val="single" w:color="auto" w:sz="4" w:space="0"/>
              <w:tl2br w:val="nil"/>
              <w:tr2bl w:val="nil"/>
            </w:tcBorders>
            <w:vAlign w:val="center"/>
          </w:tcPr>
          <w:p>
            <w:pPr>
              <w:pStyle w:val="11"/>
              <w:rPr>
                <w:sz w:val="24"/>
                <w:szCs w:val="24"/>
              </w:rPr>
            </w:pPr>
            <w:r>
              <w:rPr>
                <w:rFonts w:eastAsia="等线"/>
                <w:sz w:val="24"/>
                <w:szCs w:val="24"/>
              </w:rPr>
              <w:t>1.01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83" w:type="dxa"/>
            <w:tcBorders>
              <w:top w:val="single" w:color="auto" w:sz="4" w:space="0"/>
              <w:left w:val="single" w:color="auto" w:sz="4" w:space="0"/>
              <w:bottom w:val="single" w:color="auto" w:sz="4" w:space="0"/>
              <w:right w:val="single" w:color="auto" w:sz="4" w:space="0"/>
              <w:tl2br w:val="nil"/>
              <w:tr2bl w:val="nil"/>
            </w:tcBorders>
            <w:vAlign w:val="center"/>
          </w:tcPr>
          <w:p>
            <w:pPr>
              <w:pStyle w:val="11"/>
              <w:rPr>
                <w:sz w:val="24"/>
                <w:szCs w:val="24"/>
              </w:rPr>
            </w:pPr>
            <w:r>
              <w:rPr>
                <w:sz w:val="24"/>
                <w:szCs w:val="24"/>
              </w:rPr>
              <w:t>上砂镇</w:t>
            </w:r>
          </w:p>
        </w:tc>
        <w:tc>
          <w:tcPr>
            <w:tcW w:w="1406" w:type="dxa"/>
            <w:tcBorders>
              <w:top w:val="single" w:color="auto" w:sz="4" w:space="0"/>
              <w:left w:val="single" w:color="auto" w:sz="4" w:space="0"/>
              <w:bottom w:val="single" w:color="auto" w:sz="4" w:space="0"/>
              <w:right w:val="single" w:color="auto" w:sz="4" w:space="0"/>
              <w:tl2br w:val="nil"/>
              <w:tr2bl w:val="nil"/>
            </w:tcBorders>
            <w:vAlign w:val="center"/>
          </w:tcPr>
          <w:p>
            <w:pPr>
              <w:pStyle w:val="11"/>
              <w:rPr>
                <w:sz w:val="24"/>
                <w:szCs w:val="24"/>
              </w:rPr>
            </w:pPr>
            <w:r>
              <w:rPr>
                <w:sz w:val="24"/>
                <w:szCs w:val="24"/>
              </w:rPr>
              <w:t>10.50</w:t>
            </w:r>
          </w:p>
        </w:tc>
        <w:tc>
          <w:tcPr>
            <w:tcW w:w="1802" w:type="dxa"/>
            <w:tcBorders>
              <w:top w:val="single" w:color="auto" w:sz="4" w:space="0"/>
              <w:left w:val="single" w:color="auto" w:sz="4" w:space="0"/>
              <w:bottom w:val="single" w:color="auto" w:sz="4" w:space="0"/>
              <w:right w:val="single" w:color="auto" w:sz="4" w:space="0"/>
              <w:tl2br w:val="nil"/>
              <w:tr2bl w:val="nil"/>
            </w:tcBorders>
            <w:vAlign w:val="center"/>
          </w:tcPr>
          <w:p>
            <w:pPr>
              <w:pStyle w:val="11"/>
              <w:rPr>
                <w:sz w:val="24"/>
                <w:szCs w:val="24"/>
              </w:rPr>
            </w:pPr>
            <w:r>
              <w:rPr>
                <w:sz w:val="24"/>
                <w:szCs w:val="24"/>
              </w:rPr>
              <w:t>10.19</w:t>
            </w:r>
          </w:p>
        </w:tc>
        <w:tc>
          <w:tcPr>
            <w:tcW w:w="1969" w:type="dxa"/>
            <w:tcBorders>
              <w:top w:val="single" w:color="auto" w:sz="4" w:space="0"/>
              <w:left w:val="single" w:color="auto" w:sz="4" w:space="0"/>
              <w:bottom w:val="single" w:color="auto" w:sz="4" w:space="0"/>
              <w:right w:val="single" w:color="auto" w:sz="4" w:space="0"/>
              <w:tl2br w:val="nil"/>
              <w:tr2bl w:val="nil"/>
            </w:tcBorders>
            <w:vAlign w:val="center"/>
          </w:tcPr>
          <w:p>
            <w:pPr>
              <w:pStyle w:val="11"/>
              <w:rPr>
                <w:sz w:val="24"/>
                <w:szCs w:val="24"/>
              </w:rPr>
            </w:pPr>
            <w:r>
              <w:rPr>
                <w:rFonts w:eastAsia="等线"/>
                <w:sz w:val="24"/>
                <w:szCs w:val="24"/>
              </w:rPr>
              <w:t>13.57</w:t>
            </w:r>
          </w:p>
        </w:tc>
        <w:tc>
          <w:tcPr>
            <w:tcW w:w="1962" w:type="dxa"/>
            <w:tcBorders>
              <w:top w:val="single" w:color="auto" w:sz="4" w:space="0"/>
              <w:left w:val="single" w:color="auto" w:sz="4" w:space="0"/>
              <w:bottom w:val="single" w:color="auto" w:sz="4" w:space="0"/>
              <w:right w:val="single" w:color="auto" w:sz="4" w:space="0"/>
              <w:tl2br w:val="nil"/>
              <w:tr2bl w:val="nil"/>
            </w:tcBorders>
            <w:vAlign w:val="center"/>
          </w:tcPr>
          <w:p>
            <w:pPr>
              <w:pStyle w:val="11"/>
              <w:rPr>
                <w:sz w:val="24"/>
                <w:szCs w:val="24"/>
              </w:rPr>
            </w:pPr>
            <w:r>
              <w:rPr>
                <w:rFonts w:eastAsia="等线"/>
                <w:sz w:val="24"/>
                <w:szCs w:val="24"/>
              </w:rPr>
              <w:t>1.16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83" w:type="dxa"/>
            <w:tcBorders>
              <w:top w:val="single" w:color="auto" w:sz="4" w:space="0"/>
              <w:left w:val="single" w:color="auto" w:sz="4" w:space="0"/>
              <w:bottom w:val="single" w:color="auto" w:sz="4" w:space="0"/>
              <w:right w:val="single" w:color="auto" w:sz="4" w:space="0"/>
              <w:tl2br w:val="nil"/>
              <w:tr2bl w:val="nil"/>
            </w:tcBorders>
            <w:vAlign w:val="center"/>
          </w:tcPr>
          <w:p>
            <w:pPr>
              <w:pStyle w:val="11"/>
              <w:rPr>
                <w:sz w:val="24"/>
                <w:szCs w:val="24"/>
              </w:rPr>
            </w:pPr>
            <w:r>
              <w:rPr>
                <w:sz w:val="24"/>
                <w:szCs w:val="24"/>
              </w:rPr>
              <w:t>良田乡</w:t>
            </w:r>
          </w:p>
        </w:tc>
        <w:tc>
          <w:tcPr>
            <w:tcW w:w="1406" w:type="dxa"/>
            <w:tcBorders>
              <w:top w:val="single" w:color="auto" w:sz="4" w:space="0"/>
              <w:left w:val="single" w:color="auto" w:sz="4" w:space="0"/>
              <w:bottom w:val="single" w:color="auto" w:sz="4" w:space="0"/>
              <w:right w:val="single" w:color="auto" w:sz="4" w:space="0"/>
              <w:tl2br w:val="nil"/>
              <w:tr2bl w:val="nil"/>
            </w:tcBorders>
            <w:vAlign w:val="center"/>
          </w:tcPr>
          <w:p>
            <w:pPr>
              <w:pStyle w:val="11"/>
              <w:rPr>
                <w:sz w:val="24"/>
                <w:szCs w:val="24"/>
              </w:rPr>
            </w:pPr>
            <w:r>
              <w:rPr>
                <w:sz w:val="24"/>
                <w:szCs w:val="24"/>
              </w:rPr>
              <w:t>2.80</w:t>
            </w:r>
          </w:p>
        </w:tc>
        <w:tc>
          <w:tcPr>
            <w:tcW w:w="1802" w:type="dxa"/>
            <w:tcBorders>
              <w:top w:val="single" w:color="auto" w:sz="4" w:space="0"/>
              <w:left w:val="single" w:color="auto" w:sz="4" w:space="0"/>
              <w:bottom w:val="single" w:color="auto" w:sz="4" w:space="0"/>
              <w:right w:val="single" w:color="auto" w:sz="4" w:space="0"/>
              <w:tl2br w:val="nil"/>
              <w:tr2bl w:val="nil"/>
            </w:tcBorders>
            <w:vAlign w:val="center"/>
          </w:tcPr>
          <w:p>
            <w:pPr>
              <w:pStyle w:val="11"/>
              <w:rPr>
                <w:sz w:val="24"/>
                <w:szCs w:val="24"/>
              </w:rPr>
            </w:pPr>
            <w:r>
              <w:rPr>
                <w:sz w:val="24"/>
                <w:szCs w:val="24"/>
              </w:rPr>
              <w:t>2.52</w:t>
            </w:r>
          </w:p>
        </w:tc>
        <w:tc>
          <w:tcPr>
            <w:tcW w:w="1969" w:type="dxa"/>
            <w:tcBorders>
              <w:top w:val="single" w:color="auto" w:sz="4" w:space="0"/>
              <w:left w:val="single" w:color="auto" w:sz="4" w:space="0"/>
              <w:bottom w:val="single" w:color="auto" w:sz="4" w:space="0"/>
              <w:right w:val="single" w:color="auto" w:sz="4" w:space="0"/>
              <w:tl2br w:val="nil"/>
              <w:tr2bl w:val="nil"/>
            </w:tcBorders>
            <w:vAlign w:val="center"/>
          </w:tcPr>
          <w:p>
            <w:pPr>
              <w:pStyle w:val="11"/>
              <w:rPr>
                <w:sz w:val="24"/>
                <w:szCs w:val="24"/>
              </w:rPr>
            </w:pPr>
            <w:r>
              <w:rPr>
                <w:rFonts w:eastAsia="等线"/>
                <w:sz w:val="24"/>
                <w:szCs w:val="24"/>
              </w:rPr>
              <w:t>77.93</w:t>
            </w:r>
          </w:p>
        </w:tc>
        <w:tc>
          <w:tcPr>
            <w:tcW w:w="1962" w:type="dxa"/>
            <w:tcBorders>
              <w:top w:val="single" w:color="auto" w:sz="4" w:space="0"/>
              <w:left w:val="single" w:color="auto" w:sz="4" w:space="0"/>
              <w:bottom w:val="single" w:color="auto" w:sz="4" w:space="0"/>
              <w:right w:val="single" w:color="auto" w:sz="4" w:space="0"/>
              <w:tl2br w:val="nil"/>
              <w:tr2bl w:val="nil"/>
            </w:tcBorders>
            <w:vAlign w:val="center"/>
          </w:tcPr>
          <w:p>
            <w:pPr>
              <w:pStyle w:val="11"/>
              <w:rPr>
                <w:sz w:val="24"/>
                <w:szCs w:val="24"/>
              </w:rPr>
            </w:pPr>
            <w:r>
              <w:rPr>
                <w:rFonts w:eastAsia="等线"/>
                <w:sz w:val="24"/>
                <w:szCs w:val="24"/>
              </w:rPr>
              <w:t>0.20</w:t>
            </w:r>
          </w:p>
        </w:tc>
      </w:tr>
      <w:bookmarkEnd w:id="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83" w:type="dxa"/>
            <w:tcBorders>
              <w:top w:val="single" w:color="auto" w:sz="4" w:space="0"/>
              <w:left w:val="single" w:color="auto" w:sz="4" w:space="0"/>
              <w:bottom w:val="single" w:color="auto" w:sz="4" w:space="0"/>
              <w:right w:val="single" w:color="auto" w:sz="4" w:space="0"/>
              <w:tl2br w:val="nil"/>
              <w:tr2bl w:val="nil"/>
            </w:tcBorders>
            <w:vAlign w:val="center"/>
          </w:tcPr>
          <w:p>
            <w:pPr>
              <w:pStyle w:val="11"/>
              <w:rPr>
                <w:sz w:val="24"/>
                <w:szCs w:val="24"/>
              </w:rPr>
            </w:pPr>
            <w:r>
              <w:rPr>
                <w:rFonts w:hint="eastAsia"/>
                <w:sz w:val="24"/>
                <w:szCs w:val="24"/>
              </w:rPr>
              <w:t>合计</w:t>
            </w:r>
          </w:p>
        </w:tc>
        <w:tc>
          <w:tcPr>
            <w:tcW w:w="1406" w:type="dxa"/>
            <w:tcBorders>
              <w:top w:val="single" w:color="auto" w:sz="4" w:space="0"/>
              <w:left w:val="single" w:color="auto" w:sz="4" w:space="0"/>
              <w:bottom w:val="single" w:color="auto" w:sz="4" w:space="0"/>
              <w:right w:val="single" w:color="auto" w:sz="4" w:space="0"/>
              <w:tl2br w:val="nil"/>
              <w:tr2bl w:val="nil"/>
            </w:tcBorders>
            <w:vAlign w:val="center"/>
          </w:tcPr>
          <w:p>
            <w:pPr>
              <w:pStyle w:val="11"/>
              <w:rPr>
                <w:sz w:val="24"/>
                <w:szCs w:val="24"/>
              </w:rPr>
            </w:pPr>
            <w:r>
              <w:rPr>
                <w:sz w:val="24"/>
                <w:szCs w:val="24"/>
              </w:rPr>
              <w:t>127.14</w:t>
            </w:r>
          </w:p>
        </w:tc>
        <w:tc>
          <w:tcPr>
            <w:tcW w:w="1802" w:type="dxa"/>
            <w:tcBorders>
              <w:top w:val="single" w:color="auto" w:sz="4" w:space="0"/>
              <w:left w:val="single" w:color="auto" w:sz="4" w:space="0"/>
              <w:bottom w:val="single" w:color="auto" w:sz="4" w:space="0"/>
              <w:right w:val="single" w:color="auto" w:sz="4" w:space="0"/>
              <w:tl2br w:val="nil"/>
              <w:tr2bl w:val="nil"/>
            </w:tcBorders>
            <w:vAlign w:val="center"/>
          </w:tcPr>
          <w:p>
            <w:pPr>
              <w:pStyle w:val="11"/>
              <w:rPr>
                <w:sz w:val="24"/>
                <w:szCs w:val="24"/>
              </w:rPr>
            </w:pPr>
            <w:r>
              <w:rPr>
                <w:sz w:val="24"/>
                <w:szCs w:val="24"/>
              </w:rPr>
              <w:t>1</w:t>
            </w:r>
            <w:r>
              <w:rPr>
                <w:rFonts w:hint="eastAsia"/>
                <w:sz w:val="24"/>
                <w:szCs w:val="24"/>
              </w:rPr>
              <w:t>20</w:t>
            </w:r>
            <w:r>
              <w:rPr>
                <w:sz w:val="24"/>
                <w:szCs w:val="24"/>
              </w:rPr>
              <w:t>.</w:t>
            </w:r>
            <w:r>
              <w:rPr>
                <w:rFonts w:hint="eastAsia"/>
                <w:sz w:val="24"/>
                <w:szCs w:val="24"/>
              </w:rPr>
              <w:t>0</w:t>
            </w:r>
            <w:r>
              <w:rPr>
                <w:sz w:val="24"/>
                <w:szCs w:val="24"/>
              </w:rPr>
              <w:t>0</w:t>
            </w:r>
          </w:p>
        </w:tc>
        <w:tc>
          <w:tcPr>
            <w:tcW w:w="1969" w:type="dxa"/>
            <w:tcBorders>
              <w:top w:val="single" w:color="auto" w:sz="4" w:space="0"/>
              <w:left w:val="single" w:color="auto" w:sz="4" w:space="0"/>
              <w:bottom w:val="single" w:color="auto" w:sz="4" w:space="0"/>
              <w:right w:val="single" w:color="auto" w:sz="4" w:space="0"/>
              <w:tl2br w:val="nil"/>
              <w:tr2bl w:val="nil"/>
            </w:tcBorders>
            <w:vAlign w:val="center"/>
          </w:tcPr>
          <w:p>
            <w:pPr>
              <w:pStyle w:val="11"/>
              <w:rPr>
                <w:sz w:val="24"/>
                <w:szCs w:val="24"/>
              </w:rPr>
            </w:pPr>
            <w:r>
              <w:rPr>
                <w:rFonts w:eastAsia="等线"/>
                <w:sz w:val="24"/>
                <w:szCs w:val="24"/>
              </w:rPr>
              <w:t>276.78</w:t>
            </w:r>
          </w:p>
        </w:tc>
        <w:tc>
          <w:tcPr>
            <w:tcW w:w="1962" w:type="dxa"/>
            <w:tcBorders>
              <w:top w:val="single" w:color="auto" w:sz="4" w:space="0"/>
              <w:left w:val="single" w:color="auto" w:sz="4" w:space="0"/>
              <w:bottom w:val="single" w:color="auto" w:sz="4" w:space="0"/>
              <w:right w:val="single" w:color="auto" w:sz="4" w:space="0"/>
              <w:tl2br w:val="nil"/>
              <w:tr2bl w:val="nil"/>
            </w:tcBorders>
            <w:vAlign w:val="center"/>
          </w:tcPr>
          <w:p>
            <w:pPr>
              <w:pStyle w:val="11"/>
              <w:rPr>
                <w:sz w:val="24"/>
                <w:szCs w:val="24"/>
              </w:rPr>
            </w:pPr>
            <w:r>
              <w:rPr>
                <w:rFonts w:eastAsia="等线"/>
                <w:sz w:val="24"/>
                <w:szCs w:val="24"/>
              </w:rPr>
              <w:t>45.36</w:t>
            </w:r>
          </w:p>
        </w:tc>
      </w:tr>
    </w:tbl>
    <w:p>
      <w:pPr>
        <w:pStyle w:val="12"/>
        <w:rPr>
          <w:color w:val="000000" w:themeColor="text1"/>
          <w:sz w:val="21"/>
          <w14:textFill>
            <w14:solidFill>
              <w14:schemeClr w14:val="tx1"/>
            </w14:solidFill>
          </w14:textFill>
        </w:rPr>
      </w:pPr>
      <w:bookmarkStart w:id="3" w:name="_Hlk144998343"/>
      <w:r>
        <w:rPr>
          <w:rFonts w:hint="eastAsia"/>
          <w:color w:val="000000" w:themeColor="text1"/>
          <w:sz w:val="21"/>
          <w14:textFill>
            <w14:solidFill>
              <w14:schemeClr w14:val="tx1"/>
            </w14:solidFill>
          </w14:textFill>
        </w:rPr>
        <w:t>注：永久基本农田采用核实处置后数据，生态保护红线、城镇开发边界、耕地保有量采用揭西县国土空间总体规划“三区三线”数据。表格数据因保留2位小数进行四舍五入，准确数据以自然资源部下发成果为准。</w:t>
      </w:r>
    </w:p>
    <w:bookmarkEnd w:id="3"/>
    <w:p>
      <w:pPr>
        <w:widowControl/>
        <w:jc w:val="left"/>
        <w:rPr>
          <w:rFonts w:ascii="Times New Roman" w:hAnsi="Times New Roman" w:eastAsia="仿宋_GB2312" w:cs="Times New Roman"/>
          <w:color w:val="000000" w:themeColor="text1"/>
          <w:sz w:val="30"/>
          <w14:textFill>
            <w14:solidFill>
              <w14:schemeClr w14:val="tx1"/>
            </w14:solidFill>
          </w14:textFill>
        </w:rPr>
        <w:sectPr>
          <w:footerReference r:id="rId3" w:type="default"/>
          <w:pgSz w:w="11906" w:h="16838"/>
          <w:pgMar w:top="1440" w:right="1800" w:bottom="1440" w:left="1800" w:header="851" w:footer="992" w:gutter="0"/>
          <w:cols w:space="425" w:num="1"/>
          <w:docGrid w:type="lines" w:linePitch="312" w:charSpace="0"/>
        </w:sectPr>
      </w:pPr>
      <w:r>
        <w:rPr>
          <w:rFonts w:ascii="Times New Roman" w:hAnsi="Times New Roman" w:eastAsia="仿宋_GB2312" w:cs="Times New Roman"/>
          <w:color w:val="000000" w:themeColor="text1"/>
          <w:sz w:val="30"/>
          <w14:textFill>
            <w14:solidFill>
              <w14:schemeClr w14:val="tx1"/>
            </w14:solidFill>
          </w14:textFill>
        </w:rPr>
        <w:br w:type="page"/>
      </w:r>
    </w:p>
    <w:p>
      <w:pPr>
        <w:ind w:firstLine="600" w:firstLineChars="200"/>
        <w:rPr>
          <w:rFonts w:ascii="Times New Roman" w:hAnsi="Times New Roman" w:eastAsia="仿宋_GB2312" w:cs="Times New Roman"/>
          <w:b/>
          <w:bCs/>
          <w:color w:val="000000" w:themeColor="text1"/>
          <w:sz w:val="30"/>
          <w14:textFill>
            <w14:solidFill>
              <w14:schemeClr w14:val="tx1"/>
            </w14:solidFill>
          </w14:textFill>
        </w:rPr>
      </w:pPr>
      <w:r>
        <w:rPr>
          <w:rFonts w:hint="eastAsia" w:ascii="Times New Roman" w:hAnsi="Times New Roman" w:eastAsia="仿宋_GB2312" w:cs="Times New Roman"/>
          <w:b/>
          <w:bCs/>
          <w:color w:val="000000" w:themeColor="text1"/>
          <w:sz w:val="30"/>
          <w14:textFill>
            <w14:solidFill>
              <w14:schemeClr w14:val="tx1"/>
            </w14:solidFill>
          </w14:textFill>
        </w:rPr>
        <w:t>附则 3  揭西县村庄分类管控开发强度一览表：</w:t>
      </w:r>
    </w:p>
    <w:tbl>
      <w:tblPr>
        <w:tblStyle w:val="8"/>
        <w:tblW w:w="13666" w:type="dxa"/>
        <w:tblInd w:w="9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5"/>
        <w:gridCol w:w="2856"/>
        <w:gridCol w:w="1551"/>
        <w:gridCol w:w="2270"/>
        <w:gridCol w:w="2088"/>
        <w:gridCol w:w="2030"/>
        <w:gridCol w:w="8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blHeader/>
        </w:trPr>
        <w:tc>
          <w:tcPr>
            <w:tcW w:w="1975" w:type="dxa"/>
            <w:shd w:val="clear" w:color="auto" w:fill="auto"/>
            <w:vAlign w:val="center"/>
          </w:tcPr>
          <w:p>
            <w:pPr>
              <w:pStyle w:val="11"/>
              <w:rPr>
                <w:b/>
                <w:bCs/>
                <w:sz w:val="24"/>
                <w:szCs w:val="24"/>
              </w:rPr>
            </w:pPr>
            <w:r>
              <w:rPr>
                <w:rFonts w:hint="eastAsia"/>
                <w:b/>
                <w:bCs/>
                <w:sz w:val="24"/>
                <w:szCs w:val="24"/>
              </w:rPr>
              <w:t>分类管控名称</w:t>
            </w:r>
          </w:p>
        </w:tc>
        <w:tc>
          <w:tcPr>
            <w:tcW w:w="2856" w:type="dxa"/>
            <w:shd w:val="clear" w:color="auto" w:fill="auto"/>
            <w:vAlign w:val="center"/>
          </w:tcPr>
          <w:p>
            <w:pPr>
              <w:pStyle w:val="11"/>
              <w:rPr>
                <w:b/>
                <w:bCs/>
                <w:sz w:val="24"/>
                <w:szCs w:val="24"/>
              </w:rPr>
            </w:pPr>
            <w:r>
              <w:rPr>
                <w:rFonts w:hint="eastAsia"/>
                <w:b/>
                <w:bCs/>
                <w:sz w:val="24"/>
                <w:szCs w:val="24"/>
              </w:rPr>
              <w:t>用地性质</w:t>
            </w:r>
          </w:p>
        </w:tc>
        <w:tc>
          <w:tcPr>
            <w:tcW w:w="1551" w:type="dxa"/>
            <w:shd w:val="clear" w:color="auto" w:fill="auto"/>
            <w:vAlign w:val="center"/>
          </w:tcPr>
          <w:p>
            <w:pPr>
              <w:pStyle w:val="11"/>
              <w:rPr>
                <w:b/>
                <w:bCs/>
                <w:sz w:val="24"/>
                <w:szCs w:val="24"/>
              </w:rPr>
            </w:pPr>
            <w:r>
              <w:rPr>
                <w:rFonts w:hint="eastAsia"/>
                <w:b/>
                <w:bCs/>
                <w:sz w:val="24"/>
                <w:szCs w:val="24"/>
              </w:rPr>
              <w:t>容积率</w:t>
            </w:r>
          </w:p>
        </w:tc>
        <w:tc>
          <w:tcPr>
            <w:tcW w:w="2270" w:type="dxa"/>
            <w:shd w:val="clear" w:color="auto" w:fill="auto"/>
            <w:vAlign w:val="center"/>
          </w:tcPr>
          <w:p>
            <w:pPr>
              <w:pStyle w:val="11"/>
              <w:rPr>
                <w:b/>
                <w:bCs/>
                <w:sz w:val="24"/>
                <w:szCs w:val="24"/>
              </w:rPr>
            </w:pPr>
            <w:r>
              <w:rPr>
                <w:rFonts w:hint="eastAsia"/>
                <w:b/>
                <w:bCs/>
                <w:sz w:val="24"/>
                <w:szCs w:val="24"/>
              </w:rPr>
              <w:t>建筑密度（%）</w:t>
            </w:r>
          </w:p>
        </w:tc>
        <w:tc>
          <w:tcPr>
            <w:tcW w:w="2088" w:type="dxa"/>
            <w:shd w:val="clear" w:color="auto" w:fill="auto"/>
            <w:vAlign w:val="center"/>
          </w:tcPr>
          <w:p>
            <w:pPr>
              <w:pStyle w:val="11"/>
              <w:rPr>
                <w:b/>
                <w:bCs/>
                <w:sz w:val="24"/>
                <w:szCs w:val="24"/>
              </w:rPr>
            </w:pPr>
            <w:r>
              <w:rPr>
                <w:rFonts w:hint="eastAsia"/>
                <w:b/>
                <w:bCs/>
                <w:sz w:val="24"/>
                <w:szCs w:val="24"/>
              </w:rPr>
              <w:t>绿地率（%）</w:t>
            </w:r>
          </w:p>
        </w:tc>
        <w:tc>
          <w:tcPr>
            <w:tcW w:w="2030" w:type="dxa"/>
            <w:shd w:val="clear" w:color="auto" w:fill="auto"/>
            <w:vAlign w:val="center"/>
          </w:tcPr>
          <w:p>
            <w:pPr>
              <w:pStyle w:val="11"/>
              <w:rPr>
                <w:b/>
                <w:bCs/>
                <w:sz w:val="24"/>
                <w:szCs w:val="24"/>
              </w:rPr>
            </w:pPr>
            <w:r>
              <w:rPr>
                <w:rFonts w:hint="eastAsia"/>
                <w:b/>
                <w:bCs/>
                <w:sz w:val="24"/>
                <w:szCs w:val="24"/>
              </w:rPr>
              <w:t>建筑限高（m）</w:t>
            </w:r>
          </w:p>
        </w:tc>
        <w:tc>
          <w:tcPr>
            <w:tcW w:w="896" w:type="dxa"/>
            <w:shd w:val="clear" w:color="auto" w:fill="auto"/>
            <w:vAlign w:val="center"/>
          </w:tcPr>
          <w:p>
            <w:pPr>
              <w:pStyle w:val="11"/>
              <w:rPr>
                <w:b/>
                <w:bCs/>
                <w:sz w:val="24"/>
                <w:szCs w:val="24"/>
              </w:rPr>
            </w:pPr>
            <w:r>
              <w:rPr>
                <w:rFonts w:hint="eastAsia"/>
                <w:b/>
                <w:bCs/>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975" w:type="dxa"/>
            <w:vMerge w:val="restart"/>
            <w:shd w:val="clear" w:color="auto" w:fill="auto"/>
            <w:vAlign w:val="center"/>
          </w:tcPr>
          <w:p>
            <w:pPr>
              <w:pStyle w:val="11"/>
              <w:rPr>
                <w:sz w:val="24"/>
                <w:szCs w:val="24"/>
              </w:rPr>
            </w:pPr>
            <w:r>
              <w:rPr>
                <w:rFonts w:hint="eastAsia"/>
                <w:sz w:val="24"/>
                <w:szCs w:val="24"/>
              </w:rPr>
              <w:t>集聚提升类</w:t>
            </w:r>
          </w:p>
        </w:tc>
        <w:tc>
          <w:tcPr>
            <w:tcW w:w="2856" w:type="dxa"/>
            <w:shd w:val="clear" w:color="auto" w:fill="auto"/>
            <w:vAlign w:val="center"/>
          </w:tcPr>
          <w:p>
            <w:pPr>
              <w:pStyle w:val="11"/>
              <w:rPr>
                <w:sz w:val="24"/>
                <w:szCs w:val="24"/>
              </w:rPr>
            </w:pPr>
            <w:r>
              <w:rPr>
                <w:rFonts w:hint="eastAsia"/>
                <w:sz w:val="24"/>
                <w:szCs w:val="24"/>
              </w:rPr>
              <w:t>居住用地</w:t>
            </w:r>
          </w:p>
        </w:tc>
        <w:tc>
          <w:tcPr>
            <w:tcW w:w="1551" w:type="dxa"/>
            <w:shd w:val="clear" w:color="auto" w:fill="auto"/>
            <w:vAlign w:val="center"/>
          </w:tcPr>
          <w:p>
            <w:pPr>
              <w:pStyle w:val="11"/>
              <w:rPr>
                <w:sz w:val="24"/>
                <w:szCs w:val="24"/>
              </w:rPr>
            </w:pPr>
            <w:r>
              <w:rPr>
                <w:rFonts w:hint="eastAsia"/>
                <w:sz w:val="24"/>
                <w:szCs w:val="24"/>
              </w:rPr>
              <w:t>≤</w:t>
            </w:r>
            <w:r>
              <w:rPr>
                <w:sz w:val="24"/>
                <w:szCs w:val="24"/>
              </w:rPr>
              <w:t>3.5</w:t>
            </w:r>
          </w:p>
        </w:tc>
        <w:tc>
          <w:tcPr>
            <w:tcW w:w="2270" w:type="dxa"/>
            <w:shd w:val="clear" w:color="auto" w:fill="auto"/>
            <w:vAlign w:val="center"/>
          </w:tcPr>
          <w:p>
            <w:pPr>
              <w:pStyle w:val="11"/>
              <w:rPr>
                <w:sz w:val="24"/>
                <w:szCs w:val="24"/>
              </w:rPr>
            </w:pPr>
            <w:r>
              <w:rPr>
                <w:rFonts w:hint="eastAsia"/>
                <w:sz w:val="24"/>
                <w:szCs w:val="24"/>
              </w:rPr>
              <w:t>≤45</w:t>
            </w:r>
          </w:p>
        </w:tc>
        <w:tc>
          <w:tcPr>
            <w:tcW w:w="2088" w:type="dxa"/>
            <w:shd w:val="clear" w:color="auto" w:fill="auto"/>
            <w:vAlign w:val="center"/>
          </w:tcPr>
          <w:p>
            <w:pPr>
              <w:pStyle w:val="11"/>
              <w:rPr>
                <w:sz w:val="24"/>
                <w:szCs w:val="24"/>
              </w:rPr>
            </w:pPr>
            <w:r>
              <w:rPr>
                <w:rFonts w:hint="eastAsia"/>
                <w:sz w:val="24"/>
                <w:szCs w:val="24"/>
              </w:rPr>
              <w:t>≥30</w:t>
            </w:r>
          </w:p>
        </w:tc>
        <w:tc>
          <w:tcPr>
            <w:tcW w:w="2030" w:type="dxa"/>
            <w:shd w:val="clear" w:color="auto" w:fill="auto"/>
            <w:vAlign w:val="center"/>
          </w:tcPr>
          <w:p>
            <w:pPr>
              <w:pStyle w:val="11"/>
              <w:rPr>
                <w:sz w:val="24"/>
                <w:szCs w:val="24"/>
              </w:rPr>
            </w:pPr>
            <w:r>
              <w:rPr>
                <w:rFonts w:hint="eastAsia"/>
                <w:sz w:val="24"/>
                <w:szCs w:val="24"/>
              </w:rPr>
              <w:t>≤60</w:t>
            </w:r>
          </w:p>
        </w:tc>
        <w:tc>
          <w:tcPr>
            <w:tcW w:w="896" w:type="dxa"/>
            <w:shd w:val="clear" w:color="auto" w:fill="auto"/>
            <w:vAlign w:val="center"/>
          </w:tcPr>
          <w:p>
            <w:pPr>
              <w:pStyle w:val="11"/>
              <w:rPr>
                <w:sz w:val="24"/>
                <w:szCs w:val="24"/>
              </w:rPr>
            </w:pPr>
            <w:r>
              <w:rPr>
                <w:rFonts w:hint="eastAsia"/>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975" w:type="dxa"/>
            <w:vMerge w:val="continue"/>
            <w:shd w:val="clear" w:color="auto" w:fill="auto"/>
            <w:vAlign w:val="center"/>
          </w:tcPr>
          <w:p>
            <w:pPr>
              <w:pStyle w:val="11"/>
              <w:rPr>
                <w:sz w:val="24"/>
                <w:szCs w:val="24"/>
              </w:rPr>
            </w:pPr>
          </w:p>
        </w:tc>
        <w:tc>
          <w:tcPr>
            <w:tcW w:w="2856" w:type="dxa"/>
            <w:shd w:val="clear" w:color="auto" w:fill="auto"/>
            <w:vAlign w:val="center"/>
          </w:tcPr>
          <w:p>
            <w:pPr>
              <w:pStyle w:val="11"/>
              <w:rPr>
                <w:sz w:val="24"/>
                <w:szCs w:val="24"/>
              </w:rPr>
            </w:pPr>
            <w:r>
              <w:rPr>
                <w:rFonts w:hint="eastAsia"/>
                <w:sz w:val="24"/>
                <w:szCs w:val="24"/>
              </w:rPr>
              <w:t>公共管理与公共服务用地</w:t>
            </w:r>
          </w:p>
        </w:tc>
        <w:tc>
          <w:tcPr>
            <w:tcW w:w="1551" w:type="dxa"/>
            <w:shd w:val="clear" w:color="auto" w:fill="auto"/>
            <w:vAlign w:val="center"/>
          </w:tcPr>
          <w:p>
            <w:pPr>
              <w:pStyle w:val="11"/>
              <w:rPr>
                <w:sz w:val="24"/>
                <w:szCs w:val="24"/>
              </w:rPr>
            </w:pPr>
            <w:r>
              <w:rPr>
                <w:rFonts w:hint="eastAsia"/>
                <w:sz w:val="24"/>
                <w:szCs w:val="24"/>
              </w:rPr>
              <w:t>≤2.5</w:t>
            </w:r>
          </w:p>
        </w:tc>
        <w:tc>
          <w:tcPr>
            <w:tcW w:w="2270" w:type="dxa"/>
            <w:shd w:val="clear" w:color="auto" w:fill="auto"/>
            <w:vAlign w:val="center"/>
          </w:tcPr>
          <w:p>
            <w:pPr>
              <w:pStyle w:val="11"/>
              <w:rPr>
                <w:sz w:val="24"/>
                <w:szCs w:val="24"/>
              </w:rPr>
            </w:pPr>
            <w:r>
              <w:rPr>
                <w:rFonts w:hint="eastAsia"/>
                <w:sz w:val="24"/>
                <w:szCs w:val="24"/>
              </w:rPr>
              <w:t>≤40</w:t>
            </w:r>
          </w:p>
        </w:tc>
        <w:tc>
          <w:tcPr>
            <w:tcW w:w="2088" w:type="dxa"/>
            <w:shd w:val="clear" w:color="auto" w:fill="auto"/>
            <w:vAlign w:val="center"/>
          </w:tcPr>
          <w:p>
            <w:pPr>
              <w:pStyle w:val="11"/>
              <w:rPr>
                <w:sz w:val="24"/>
                <w:szCs w:val="24"/>
              </w:rPr>
            </w:pPr>
            <w:r>
              <w:rPr>
                <w:rFonts w:hint="eastAsia"/>
                <w:sz w:val="24"/>
                <w:szCs w:val="24"/>
              </w:rPr>
              <w:t>≥35</w:t>
            </w:r>
          </w:p>
        </w:tc>
        <w:tc>
          <w:tcPr>
            <w:tcW w:w="2030" w:type="dxa"/>
            <w:shd w:val="clear" w:color="auto" w:fill="auto"/>
            <w:vAlign w:val="center"/>
          </w:tcPr>
          <w:p>
            <w:pPr>
              <w:pStyle w:val="11"/>
              <w:rPr>
                <w:sz w:val="24"/>
                <w:szCs w:val="24"/>
              </w:rPr>
            </w:pPr>
            <w:r>
              <w:rPr>
                <w:rFonts w:hint="eastAsia"/>
                <w:sz w:val="24"/>
                <w:szCs w:val="24"/>
              </w:rPr>
              <w:t>≤36</w:t>
            </w:r>
          </w:p>
        </w:tc>
        <w:tc>
          <w:tcPr>
            <w:tcW w:w="896" w:type="dxa"/>
            <w:shd w:val="clear" w:color="auto" w:fill="auto"/>
            <w:vAlign w:val="center"/>
          </w:tcPr>
          <w:p>
            <w:pPr>
              <w:pStyle w:val="11"/>
              <w:rPr>
                <w:sz w:val="24"/>
                <w:szCs w:val="24"/>
              </w:rPr>
            </w:pPr>
            <w:r>
              <w:rPr>
                <w:rFonts w:hint="eastAsia"/>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975" w:type="dxa"/>
            <w:vMerge w:val="continue"/>
            <w:shd w:val="clear" w:color="auto" w:fill="auto"/>
            <w:vAlign w:val="center"/>
          </w:tcPr>
          <w:p>
            <w:pPr>
              <w:pStyle w:val="11"/>
              <w:rPr>
                <w:sz w:val="24"/>
                <w:szCs w:val="24"/>
              </w:rPr>
            </w:pPr>
          </w:p>
        </w:tc>
        <w:tc>
          <w:tcPr>
            <w:tcW w:w="2856" w:type="dxa"/>
            <w:shd w:val="clear" w:color="auto" w:fill="auto"/>
            <w:vAlign w:val="center"/>
          </w:tcPr>
          <w:p>
            <w:pPr>
              <w:pStyle w:val="11"/>
              <w:rPr>
                <w:sz w:val="24"/>
                <w:szCs w:val="24"/>
              </w:rPr>
            </w:pPr>
            <w:r>
              <w:rPr>
                <w:rFonts w:hint="eastAsia"/>
                <w:sz w:val="24"/>
                <w:szCs w:val="24"/>
              </w:rPr>
              <w:t>商业服务业用地</w:t>
            </w:r>
          </w:p>
        </w:tc>
        <w:tc>
          <w:tcPr>
            <w:tcW w:w="1551" w:type="dxa"/>
            <w:shd w:val="clear" w:color="auto" w:fill="auto"/>
            <w:vAlign w:val="center"/>
          </w:tcPr>
          <w:p>
            <w:pPr>
              <w:pStyle w:val="11"/>
              <w:rPr>
                <w:sz w:val="24"/>
                <w:szCs w:val="24"/>
              </w:rPr>
            </w:pPr>
            <w:r>
              <w:rPr>
                <w:rFonts w:hint="eastAsia"/>
                <w:sz w:val="24"/>
                <w:szCs w:val="24"/>
              </w:rPr>
              <w:t>≤3.5</w:t>
            </w:r>
          </w:p>
        </w:tc>
        <w:tc>
          <w:tcPr>
            <w:tcW w:w="2270" w:type="dxa"/>
            <w:shd w:val="clear" w:color="auto" w:fill="auto"/>
            <w:vAlign w:val="center"/>
          </w:tcPr>
          <w:p>
            <w:pPr>
              <w:pStyle w:val="11"/>
              <w:rPr>
                <w:sz w:val="24"/>
                <w:szCs w:val="24"/>
              </w:rPr>
            </w:pPr>
            <w:r>
              <w:rPr>
                <w:rFonts w:hint="eastAsia"/>
                <w:sz w:val="24"/>
                <w:szCs w:val="24"/>
              </w:rPr>
              <w:t>≤40</w:t>
            </w:r>
          </w:p>
        </w:tc>
        <w:tc>
          <w:tcPr>
            <w:tcW w:w="2088" w:type="dxa"/>
            <w:shd w:val="clear" w:color="auto" w:fill="auto"/>
            <w:vAlign w:val="center"/>
          </w:tcPr>
          <w:p>
            <w:pPr>
              <w:pStyle w:val="11"/>
              <w:rPr>
                <w:sz w:val="24"/>
                <w:szCs w:val="24"/>
              </w:rPr>
            </w:pPr>
            <w:r>
              <w:rPr>
                <w:rFonts w:hint="eastAsia"/>
                <w:sz w:val="24"/>
                <w:szCs w:val="24"/>
              </w:rPr>
              <w:t>≥25</w:t>
            </w:r>
          </w:p>
        </w:tc>
        <w:tc>
          <w:tcPr>
            <w:tcW w:w="2030" w:type="dxa"/>
            <w:shd w:val="clear" w:color="auto" w:fill="auto"/>
            <w:vAlign w:val="center"/>
          </w:tcPr>
          <w:p>
            <w:pPr>
              <w:pStyle w:val="11"/>
              <w:rPr>
                <w:sz w:val="24"/>
                <w:szCs w:val="24"/>
              </w:rPr>
            </w:pPr>
            <w:r>
              <w:rPr>
                <w:rFonts w:hint="eastAsia"/>
                <w:sz w:val="24"/>
                <w:szCs w:val="24"/>
              </w:rPr>
              <w:t>≤50</w:t>
            </w:r>
          </w:p>
        </w:tc>
        <w:tc>
          <w:tcPr>
            <w:tcW w:w="896" w:type="dxa"/>
            <w:shd w:val="clear" w:color="auto" w:fill="auto"/>
            <w:vAlign w:val="center"/>
          </w:tcPr>
          <w:p>
            <w:pPr>
              <w:pStyle w:val="11"/>
              <w:rPr>
                <w:sz w:val="24"/>
                <w:szCs w:val="24"/>
              </w:rPr>
            </w:pPr>
            <w:r>
              <w:rPr>
                <w:rFonts w:hint="eastAsia"/>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975" w:type="dxa"/>
            <w:vMerge w:val="continue"/>
            <w:shd w:val="clear" w:color="auto" w:fill="auto"/>
            <w:vAlign w:val="center"/>
          </w:tcPr>
          <w:p>
            <w:pPr>
              <w:pStyle w:val="11"/>
              <w:rPr>
                <w:sz w:val="24"/>
                <w:szCs w:val="24"/>
              </w:rPr>
            </w:pPr>
          </w:p>
        </w:tc>
        <w:tc>
          <w:tcPr>
            <w:tcW w:w="2856" w:type="dxa"/>
            <w:shd w:val="clear" w:color="auto" w:fill="auto"/>
            <w:vAlign w:val="center"/>
          </w:tcPr>
          <w:p>
            <w:pPr>
              <w:pStyle w:val="11"/>
              <w:rPr>
                <w:sz w:val="24"/>
                <w:szCs w:val="24"/>
              </w:rPr>
            </w:pPr>
            <w:r>
              <w:rPr>
                <w:rFonts w:hint="eastAsia"/>
                <w:sz w:val="24"/>
                <w:szCs w:val="24"/>
              </w:rPr>
              <w:t>工业用地</w:t>
            </w:r>
          </w:p>
        </w:tc>
        <w:tc>
          <w:tcPr>
            <w:tcW w:w="1551" w:type="dxa"/>
            <w:shd w:val="clear" w:color="auto" w:fill="auto"/>
            <w:vAlign w:val="center"/>
          </w:tcPr>
          <w:p>
            <w:pPr>
              <w:pStyle w:val="11"/>
              <w:rPr>
                <w:sz w:val="24"/>
                <w:szCs w:val="24"/>
              </w:rPr>
            </w:pPr>
            <w:r>
              <w:rPr>
                <w:rFonts w:hint="eastAsia"/>
                <w:sz w:val="24"/>
                <w:szCs w:val="24"/>
              </w:rPr>
              <w:t>0.8-4.0</w:t>
            </w:r>
          </w:p>
        </w:tc>
        <w:tc>
          <w:tcPr>
            <w:tcW w:w="2270" w:type="dxa"/>
            <w:shd w:val="clear" w:color="auto" w:fill="auto"/>
            <w:vAlign w:val="center"/>
          </w:tcPr>
          <w:p>
            <w:pPr>
              <w:pStyle w:val="11"/>
              <w:rPr>
                <w:sz w:val="24"/>
                <w:szCs w:val="24"/>
              </w:rPr>
            </w:pPr>
            <w:r>
              <w:rPr>
                <w:rFonts w:hint="eastAsia"/>
                <w:sz w:val="24"/>
                <w:szCs w:val="24"/>
              </w:rPr>
              <w:t>35-60</w:t>
            </w:r>
          </w:p>
        </w:tc>
        <w:tc>
          <w:tcPr>
            <w:tcW w:w="2088" w:type="dxa"/>
            <w:shd w:val="clear" w:color="auto" w:fill="auto"/>
            <w:vAlign w:val="center"/>
          </w:tcPr>
          <w:p>
            <w:pPr>
              <w:pStyle w:val="11"/>
              <w:rPr>
                <w:sz w:val="24"/>
                <w:szCs w:val="24"/>
              </w:rPr>
            </w:pPr>
            <w:r>
              <w:rPr>
                <w:rFonts w:hint="eastAsia"/>
                <w:sz w:val="24"/>
                <w:szCs w:val="24"/>
              </w:rPr>
              <w:t>≤20</w:t>
            </w:r>
          </w:p>
        </w:tc>
        <w:tc>
          <w:tcPr>
            <w:tcW w:w="2030" w:type="dxa"/>
            <w:shd w:val="clear" w:color="auto" w:fill="auto"/>
            <w:vAlign w:val="center"/>
          </w:tcPr>
          <w:p>
            <w:pPr>
              <w:pStyle w:val="11"/>
              <w:rPr>
                <w:sz w:val="24"/>
                <w:szCs w:val="24"/>
              </w:rPr>
            </w:pPr>
            <w:r>
              <w:rPr>
                <w:rFonts w:hint="eastAsia"/>
                <w:sz w:val="24"/>
                <w:szCs w:val="24"/>
              </w:rPr>
              <w:t>≤50</w:t>
            </w:r>
          </w:p>
        </w:tc>
        <w:tc>
          <w:tcPr>
            <w:tcW w:w="896" w:type="dxa"/>
            <w:shd w:val="clear" w:color="auto" w:fill="auto"/>
            <w:vAlign w:val="center"/>
          </w:tcPr>
          <w:p>
            <w:pPr>
              <w:pStyle w:val="11"/>
              <w:rPr>
                <w:sz w:val="24"/>
                <w:szCs w:val="24"/>
              </w:rPr>
            </w:pPr>
            <w:r>
              <w:rPr>
                <w:rFonts w:hint="eastAsia"/>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975" w:type="dxa"/>
            <w:vMerge w:val="continue"/>
            <w:shd w:val="clear" w:color="auto" w:fill="auto"/>
            <w:vAlign w:val="center"/>
          </w:tcPr>
          <w:p>
            <w:pPr>
              <w:pStyle w:val="11"/>
              <w:rPr>
                <w:sz w:val="24"/>
                <w:szCs w:val="24"/>
              </w:rPr>
            </w:pPr>
          </w:p>
        </w:tc>
        <w:tc>
          <w:tcPr>
            <w:tcW w:w="2856" w:type="dxa"/>
            <w:shd w:val="clear" w:color="auto" w:fill="auto"/>
            <w:vAlign w:val="center"/>
          </w:tcPr>
          <w:p>
            <w:pPr>
              <w:pStyle w:val="11"/>
              <w:rPr>
                <w:sz w:val="24"/>
                <w:szCs w:val="24"/>
              </w:rPr>
            </w:pPr>
            <w:r>
              <w:rPr>
                <w:rFonts w:hint="eastAsia"/>
                <w:sz w:val="24"/>
                <w:szCs w:val="24"/>
              </w:rPr>
              <w:t>仓储用地</w:t>
            </w:r>
          </w:p>
        </w:tc>
        <w:tc>
          <w:tcPr>
            <w:tcW w:w="1551" w:type="dxa"/>
            <w:shd w:val="clear" w:color="auto" w:fill="auto"/>
            <w:vAlign w:val="center"/>
          </w:tcPr>
          <w:p>
            <w:pPr>
              <w:pStyle w:val="11"/>
              <w:rPr>
                <w:sz w:val="24"/>
                <w:szCs w:val="24"/>
              </w:rPr>
            </w:pPr>
            <w:r>
              <w:rPr>
                <w:rFonts w:hint="eastAsia"/>
                <w:sz w:val="24"/>
                <w:szCs w:val="24"/>
              </w:rPr>
              <w:t>≤3.0</w:t>
            </w:r>
          </w:p>
        </w:tc>
        <w:tc>
          <w:tcPr>
            <w:tcW w:w="2270" w:type="dxa"/>
            <w:shd w:val="clear" w:color="auto" w:fill="auto"/>
            <w:vAlign w:val="center"/>
          </w:tcPr>
          <w:p>
            <w:pPr>
              <w:pStyle w:val="11"/>
              <w:rPr>
                <w:sz w:val="24"/>
                <w:szCs w:val="24"/>
              </w:rPr>
            </w:pPr>
            <w:r>
              <w:rPr>
                <w:rFonts w:hint="eastAsia"/>
                <w:sz w:val="24"/>
                <w:szCs w:val="24"/>
              </w:rPr>
              <w:t>35-60</w:t>
            </w:r>
          </w:p>
        </w:tc>
        <w:tc>
          <w:tcPr>
            <w:tcW w:w="2088" w:type="dxa"/>
            <w:shd w:val="clear" w:color="auto" w:fill="auto"/>
            <w:vAlign w:val="center"/>
          </w:tcPr>
          <w:p>
            <w:pPr>
              <w:pStyle w:val="11"/>
              <w:rPr>
                <w:sz w:val="24"/>
                <w:szCs w:val="24"/>
              </w:rPr>
            </w:pPr>
            <w:r>
              <w:rPr>
                <w:rFonts w:hint="eastAsia"/>
                <w:sz w:val="24"/>
                <w:szCs w:val="24"/>
              </w:rPr>
              <w:t>≤20</w:t>
            </w:r>
          </w:p>
        </w:tc>
        <w:tc>
          <w:tcPr>
            <w:tcW w:w="2030" w:type="dxa"/>
            <w:shd w:val="clear" w:color="auto" w:fill="auto"/>
            <w:vAlign w:val="center"/>
          </w:tcPr>
          <w:p>
            <w:pPr>
              <w:pStyle w:val="11"/>
              <w:rPr>
                <w:sz w:val="24"/>
                <w:szCs w:val="24"/>
              </w:rPr>
            </w:pPr>
            <w:r>
              <w:rPr>
                <w:rFonts w:hint="eastAsia"/>
                <w:sz w:val="24"/>
                <w:szCs w:val="24"/>
              </w:rPr>
              <w:t>≤50</w:t>
            </w:r>
          </w:p>
        </w:tc>
        <w:tc>
          <w:tcPr>
            <w:tcW w:w="896" w:type="dxa"/>
            <w:shd w:val="clear" w:color="auto" w:fill="auto"/>
            <w:vAlign w:val="center"/>
          </w:tcPr>
          <w:p>
            <w:pPr>
              <w:pStyle w:val="11"/>
              <w:rPr>
                <w:sz w:val="24"/>
                <w:szCs w:val="24"/>
              </w:rPr>
            </w:pPr>
            <w:r>
              <w:rPr>
                <w:rFonts w:hint="eastAsia"/>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975" w:type="dxa"/>
            <w:vMerge w:val="continue"/>
            <w:shd w:val="clear" w:color="auto" w:fill="auto"/>
            <w:vAlign w:val="center"/>
          </w:tcPr>
          <w:p>
            <w:pPr>
              <w:pStyle w:val="11"/>
              <w:rPr>
                <w:sz w:val="24"/>
                <w:szCs w:val="24"/>
              </w:rPr>
            </w:pPr>
          </w:p>
        </w:tc>
        <w:tc>
          <w:tcPr>
            <w:tcW w:w="2856" w:type="dxa"/>
            <w:shd w:val="clear" w:color="auto" w:fill="auto"/>
            <w:vAlign w:val="center"/>
          </w:tcPr>
          <w:p>
            <w:pPr>
              <w:pStyle w:val="11"/>
              <w:rPr>
                <w:sz w:val="24"/>
                <w:szCs w:val="24"/>
              </w:rPr>
            </w:pPr>
            <w:r>
              <w:rPr>
                <w:rFonts w:hint="eastAsia"/>
                <w:sz w:val="24"/>
                <w:szCs w:val="24"/>
              </w:rPr>
              <w:t>公用设施用地</w:t>
            </w:r>
          </w:p>
        </w:tc>
        <w:tc>
          <w:tcPr>
            <w:tcW w:w="1551" w:type="dxa"/>
            <w:shd w:val="clear" w:color="auto" w:fill="auto"/>
            <w:vAlign w:val="center"/>
          </w:tcPr>
          <w:p>
            <w:pPr>
              <w:pStyle w:val="11"/>
              <w:rPr>
                <w:sz w:val="24"/>
                <w:szCs w:val="24"/>
              </w:rPr>
            </w:pPr>
            <w:r>
              <w:rPr>
                <w:rFonts w:hint="eastAsia"/>
                <w:sz w:val="24"/>
                <w:szCs w:val="24"/>
              </w:rPr>
              <w:t>≤1.5</w:t>
            </w:r>
          </w:p>
        </w:tc>
        <w:tc>
          <w:tcPr>
            <w:tcW w:w="2270" w:type="dxa"/>
            <w:shd w:val="clear" w:color="auto" w:fill="auto"/>
            <w:vAlign w:val="center"/>
          </w:tcPr>
          <w:p>
            <w:pPr>
              <w:pStyle w:val="11"/>
              <w:rPr>
                <w:sz w:val="24"/>
                <w:szCs w:val="24"/>
              </w:rPr>
            </w:pPr>
            <w:r>
              <w:rPr>
                <w:rFonts w:hint="eastAsia"/>
                <w:sz w:val="24"/>
                <w:szCs w:val="24"/>
              </w:rPr>
              <w:t>≤40</w:t>
            </w:r>
          </w:p>
        </w:tc>
        <w:tc>
          <w:tcPr>
            <w:tcW w:w="2088" w:type="dxa"/>
            <w:shd w:val="clear" w:color="auto" w:fill="auto"/>
            <w:vAlign w:val="center"/>
          </w:tcPr>
          <w:p>
            <w:pPr>
              <w:pStyle w:val="11"/>
              <w:rPr>
                <w:sz w:val="24"/>
                <w:szCs w:val="24"/>
              </w:rPr>
            </w:pPr>
            <w:r>
              <w:rPr>
                <w:rFonts w:hint="eastAsia"/>
                <w:sz w:val="24"/>
                <w:szCs w:val="24"/>
              </w:rPr>
              <w:t>≥15</w:t>
            </w:r>
          </w:p>
        </w:tc>
        <w:tc>
          <w:tcPr>
            <w:tcW w:w="2030" w:type="dxa"/>
            <w:shd w:val="clear" w:color="auto" w:fill="auto"/>
            <w:vAlign w:val="center"/>
          </w:tcPr>
          <w:p>
            <w:pPr>
              <w:pStyle w:val="11"/>
              <w:rPr>
                <w:sz w:val="24"/>
                <w:szCs w:val="24"/>
              </w:rPr>
            </w:pPr>
            <w:r>
              <w:rPr>
                <w:rFonts w:hint="eastAsia"/>
                <w:sz w:val="24"/>
                <w:szCs w:val="24"/>
              </w:rPr>
              <w:t>≤36</w:t>
            </w:r>
          </w:p>
        </w:tc>
        <w:tc>
          <w:tcPr>
            <w:tcW w:w="896" w:type="dxa"/>
            <w:shd w:val="clear" w:color="auto" w:fill="auto"/>
            <w:vAlign w:val="center"/>
          </w:tcPr>
          <w:p>
            <w:pPr>
              <w:pStyle w:val="11"/>
              <w:rPr>
                <w:sz w:val="24"/>
                <w:szCs w:val="24"/>
              </w:rPr>
            </w:pPr>
            <w:r>
              <w:rPr>
                <w:rFonts w:hint="eastAsia"/>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975" w:type="dxa"/>
            <w:vMerge w:val="restart"/>
            <w:shd w:val="clear" w:color="auto" w:fill="auto"/>
            <w:vAlign w:val="center"/>
          </w:tcPr>
          <w:p>
            <w:pPr>
              <w:pStyle w:val="11"/>
              <w:rPr>
                <w:sz w:val="24"/>
                <w:szCs w:val="24"/>
              </w:rPr>
            </w:pPr>
            <w:r>
              <w:rPr>
                <w:rFonts w:hint="eastAsia"/>
                <w:sz w:val="24"/>
                <w:szCs w:val="24"/>
              </w:rPr>
              <w:t>城郊融合类</w:t>
            </w:r>
          </w:p>
        </w:tc>
        <w:tc>
          <w:tcPr>
            <w:tcW w:w="2856" w:type="dxa"/>
            <w:shd w:val="clear" w:color="auto" w:fill="auto"/>
            <w:vAlign w:val="center"/>
          </w:tcPr>
          <w:p>
            <w:pPr>
              <w:pStyle w:val="11"/>
              <w:rPr>
                <w:sz w:val="24"/>
                <w:szCs w:val="24"/>
              </w:rPr>
            </w:pPr>
            <w:r>
              <w:rPr>
                <w:rFonts w:hint="eastAsia"/>
                <w:sz w:val="24"/>
                <w:szCs w:val="24"/>
              </w:rPr>
              <w:t>居住用地</w:t>
            </w:r>
          </w:p>
        </w:tc>
        <w:tc>
          <w:tcPr>
            <w:tcW w:w="1551" w:type="dxa"/>
            <w:shd w:val="clear" w:color="auto" w:fill="auto"/>
            <w:vAlign w:val="center"/>
          </w:tcPr>
          <w:p>
            <w:pPr>
              <w:pStyle w:val="11"/>
              <w:rPr>
                <w:sz w:val="24"/>
                <w:szCs w:val="24"/>
              </w:rPr>
            </w:pPr>
            <w:r>
              <w:rPr>
                <w:rFonts w:hint="eastAsia"/>
                <w:sz w:val="24"/>
                <w:szCs w:val="24"/>
              </w:rPr>
              <w:t>≤</w:t>
            </w:r>
            <w:r>
              <w:rPr>
                <w:sz w:val="24"/>
                <w:szCs w:val="24"/>
              </w:rPr>
              <w:t>3.5</w:t>
            </w:r>
          </w:p>
        </w:tc>
        <w:tc>
          <w:tcPr>
            <w:tcW w:w="2270" w:type="dxa"/>
            <w:shd w:val="clear" w:color="auto" w:fill="auto"/>
            <w:vAlign w:val="center"/>
          </w:tcPr>
          <w:p>
            <w:pPr>
              <w:pStyle w:val="11"/>
              <w:rPr>
                <w:sz w:val="24"/>
                <w:szCs w:val="24"/>
              </w:rPr>
            </w:pPr>
            <w:r>
              <w:rPr>
                <w:rFonts w:hint="eastAsia"/>
                <w:sz w:val="24"/>
                <w:szCs w:val="24"/>
              </w:rPr>
              <w:t>≤45</w:t>
            </w:r>
          </w:p>
        </w:tc>
        <w:tc>
          <w:tcPr>
            <w:tcW w:w="2088" w:type="dxa"/>
            <w:shd w:val="clear" w:color="auto" w:fill="auto"/>
            <w:vAlign w:val="center"/>
          </w:tcPr>
          <w:p>
            <w:pPr>
              <w:pStyle w:val="11"/>
              <w:rPr>
                <w:sz w:val="24"/>
                <w:szCs w:val="24"/>
              </w:rPr>
            </w:pPr>
            <w:r>
              <w:rPr>
                <w:rFonts w:hint="eastAsia"/>
                <w:sz w:val="24"/>
                <w:szCs w:val="24"/>
              </w:rPr>
              <w:t>≥30</w:t>
            </w:r>
          </w:p>
        </w:tc>
        <w:tc>
          <w:tcPr>
            <w:tcW w:w="2030" w:type="dxa"/>
            <w:shd w:val="clear" w:color="auto" w:fill="auto"/>
            <w:vAlign w:val="center"/>
          </w:tcPr>
          <w:p>
            <w:pPr>
              <w:pStyle w:val="11"/>
              <w:rPr>
                <w:sz w:val="24"/>
                <w:szCs w:val="24"/>
              </w:rPr>
            </w:pPr>
            <w:r>
              <w:rPr>
                <w:rFonts w:hint="eastAsia"/>
                <w:sz w:val="24"/>
                <w:szCs w:val="24"/>
              </w:rPr>
              <w:t>≤</w:t>
            </w:r>
            <w:r>
              <w:rPr>
                <w:sz w:val="24"/>
                <w:szCs w:val="24"/>
              </w:rPr>
              <w:t>60</w:t>
            </w:r>
          </w:p>
        </w:tc>
        <w:tc>
          <w:tcPr>
            <w:tcW w:w="896" w:type="dxa"/>
            <w:shd w:val="clear" w:color="auto" w:fill="auto"/>
            <w:vAlign w:val="center"/>
          </w:tcPr>
          <w:p>
            <w:pPr>
              <w:pStyle w:val="11"/>
              <w:rPr>
                <w:sz w:val="24"/>
                <w:szCs w:val="24"/>
              </w:rPr>
            </w:pPr>
            <w:r>
              <w:rPr>
                <w:rFonts w:hint="eastAsia"/>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975" w:type="dxa"/>
            <w:vMerge w:val="continue"/>
            <w:shd w:val="clear" w:color="auto" w:fill="auto"/>
            <w:vAlign w:val="center"/>
          </w:tcPr>
          <w:p>
            <w:pPr>
              <w:pStyle w:val="11"/>
              <w:rPr>
                <w:sz w:val="24"/>
                <w:szCs w:val="24"/>
              </w:rPr>
            </w:pPr>
          </w:p>
        </w:tc>
        <w:tc>
          <w:tcPr>
            <w:tcW w:w="2856" w:type="dxa"/>
            <w:shd w:val="clear" w:color="auto" w:fill="auto"/>
            <w:vAlign w:val="center"/>
          </w:tcPr>
          <w:p>
            <w:pPr>
              <w:pStyle w:val="11"/>
              <w:rPr>
                <w:sz w:val="24"/>
                <w:szCs w:val="24"/>
              </w:rPr>
            </w:pPr>
            <w:r>
              <w:rPr>
                <w:rFonts w:hint="eastAsia"/>
                <w:sz w:val="24"/>
                <w:szCs w:val="24"/>
              </w:rPr>
              <w:t>公共管理与公共服务用地</w:t>
            </w:r>
          </w:p>
        </w:tc>
        <w:tc>
          <w:tcPr>
            <w:tcW w:w="1551" w:type="dxa"/>
            <w:shd w:val="clear" w:color="auto" w:fill="auto"/>
            <w:vAlign w:val="center"/>
          </w:tcPr>
          <w:p>
            <w:pPr>
              <w:pStyle w:val="11"/>
              <w:rPr>
                <w:sz w:val="24"/>
                <w:szCs w:val="24"/>
              </w:rPr>
            </w:pPr>
            <w:r>
              <w:rPr>
                <w:rFonts w:hint="eastAsia"/>
                <w:sz w:val="24"/>
                <w:szCs w:val="24"/>
              </w:rPr>
              <w:t>≤2.5</w:t>
            </w:r>
          </w:p>
        </w:tc>
        <w:tc>
          <w:tcPr>
            <w:tcW w:w="2270" w:type="dxa"/>
            <w:shd w:val="clear" w:color="auto" w:fill="auto"/>
            <w:vAlign w:val="center"/>
          </w:tcPr>
          <w:p>
            <w:pPr>
              <w:pStyle w:val="11"/>
              <w:rPr>
                <w:sz w:val="24"/>
                <w:szCs w:val="24"/>
              </w:rPr>
            </w:pPr>
            <w:r>
              <w:rPr>
                <w:rFonts w:hint="eastAsia"/>
                <w:sz w:val="24"/>
                <w:szCs w:val="24"/>
              </w:rPr>
              <w:t>≤40</w:t>
            </w:r>
          </w:p>
        </w:tc>
        <w:tc>
          <w:tcPr>
            <w:tcW w:w="2088" w:type="dxa"/>
            <w:shd w:val="clear" w:color="auto" w:fill="auto"/>
            <w:vAlign w:val="center"/>
          </w:tcPr>
          <w:p>
            <w:pPr>
              <w:pStyle w:val="11"/>
              <w:rPr>
                <w:sz w:val="24"/>
                <w:szCs w:val="24"/>
              </w:rPr>
            </w:pPr>
            <w:r>
              <w:rPr>
                <w:rFonts w:hint="eastAsia"/>
                <w:sz w:val="24"/>
                <w:szCs w:val="24"/>
              </w:rPr>
              <w:t>≥35</w:t>
            </w:r>
          </w:p>
        </w:tc>
        <w:tc>
          <w:tcPr>
            <w:tcW w:w="2030" w:type="dxa"/>
            <w:shd w:val="clear" w:color="auto" w:fill="auto"/>
            <w:vAlign w:val="center"/>
          </w:tcPr>
          <w:p>
            <w:pPr>
              <w:pStyle w:val="11"/>
              <w:rPr>
                <w:sz w:val="24"/>
                <w:szCs w:val="24"/>
              </w:rPr>
            </w:pPr>
            <w:r>
              <w:rPr>
                <w:rFonts w:hint="eastAsia"/>
                <w:sz w:val="24"/>
                <w:szCs w:val="24"/>
              </w:rPr>
              <w:t>≤36</w:t>
            </w:r>
          </w:p>
        </w:tc>
        <w:tc>
          <w:tcPr>
            <w:tcW w:w="896" w:type="dxa"/>
            <w:shd w:val="clear" w:color="auto" w:fill="auto"/>
            <w:vAlign w:val="center"/>
          </w:tcPr>
          <w:p>
            <w:pPr>
              <w:pStyle w:val="11"/>
              <w:rPr>
                <w:sz w:val="24"/>
                <w:szCs w:val="24"/>
              </w:rPr>
            </w:pPr>
            <w:r>
              <w:rPr>
                <w:rFonts w:hint="eastAsia"/>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975" w:type="dxa"/>
            <w:vMerge w:val="continue"/>
            <w:shd w:val="clear" w:color="auto" w:fill="auto"/>
            <w:vAlign w:val="center"/>
          </w:tcPr>
          <w:p>
            <w:pPr>
              <w:pStyle w:val="11"/>
              <w:rPr>
                <w:sz w:val="24"/>
                <w:szCs w:val="24"/>
              </w:rPr>
            </w:pPr>
          </w:p>
        </w:tc>
        <w:tc>
          <w:tcPr>
            <w:tcW w:w="2856" w:type="dxa"/>
            <w:shd w:val="clear" w:color="auto" w:fill="auto"/>
            <w:vAlign w:val="center"/>
          </w:tcPr>
          <w:p>
            <w:pPr>
              <w:pStyle w:val="11"/>
              <w:rPr>
                <w:sz w:val="24"/>
                <w:szCs w:val="24"/>
              </w:rPr>
            </w:pPr>
            <w:r>
              <w:rPr>
                <w:rFonts w:hint="eastAsia"/>
                <w:sz w:val="24"/>
                <w:szCs w:val="24"/>
              </w:rPr>
              <w:t>商业服务业用地</w:t>
            </w:r>
          </w:p>
        </w:tc>
        <w:tc>
          <w:tcPr>
            <w:tcW w:w="1551" w:type="dxa"/>
            <w:shd w:val="clear" w:color="auto" w:fill="auto"/>
            <w:vAlign w:val="center"/>
          </w:tcPr>
          <w:p>
            <w:pPr>
              <w:pStyle w:val="11"/>
              <w:rPr>
                <w:sz w:val="24"/>
                <w:szCs w:val="24"/>
              </w:rPr>
            </w:pPr>
            <w:r>
              <w:rPr>
                <w:rFonts w:hint="eastAsia"/>
                <w:sz w:val="24"/>
                <w:szCs w:val="24"/>
              </w:rPr>
              <w:t>≤3.5</w:t>
            </w:r>
          </w:p>
        </w:tc>
        <w:tc>
          <w:tcPr>
            <w:tcW w:w="2270" w:type="dxa"/>
            <w:shd w:val="clear" w:color="auto" w:fill="auto"/>
            <w:vAlign w:val="center"/>
          </w:tcPr>
          <w:p>
            <w:pPr>
              <w:pStyle w:val="11"/>
              <w:rPr>
                <w:sz w:val="24"/>
                <w:szCs w:val="24"/>
              </w:rPr>
            </w:pPr>
            <w:r>
              <w:rPr>
                <w:rFonts w:hint="eastAsia"/>
                <w:sz w:val="24"/>
                <w:szCs w:val="24"/>
              </w:rPr>
              <w:t>≤40</w:t>
            </w:r>
          </w:p>
        </w:tc>
        <w:tc>
          <w:tcPr>
            <w:tcW w:w="2088" w:type="dxa"/>
            <w:shd w:val="clear" w:color="auto" w:fill="auto"/>
            <w:vAlign w:val="center"/>
          </w:tcPr>
          <w:p>
            <w:pPr>
              <w:pStyle w:val="11"/>
              <w:rPr>
                <w:sz w:val="24"/>
                <w:szCs w:val="24"/>
              </w:rPr>
            </w:pPr>
            <w:r>
              <w:rPr>
                <w:rFonts w:hint="eastAsia"/>
                <w:sz w:val="24"/>
                <w:szCs w:val="24"/>
              </w:rPr>
              <w:t>≥25</w:t>
            </w:r>
          </w:p>
        </w:tc>
        <w:tc>
          <w:tcPr>
            <w:tcW w:w="2030" w:type="dxa"/>
            <w:shd w:val="clear" w:color="auto" w:fill="auto"/>
            <w:vAlign w:val="center"/>
          </w:tcPr>
          <w:p>
            <w:pPr>
              <w:pStyle w:val="11"/>
              <w:rPr>
                <w:sz w:val="24"/>
                <w:szCs w:val="24"/>
              </w:rPr>
            </w:pPr>
            <w:r>
              <w:rPr>
                <w:rFonts w:hint="eastAsia"/>
                <w:sz w:val="24"/>
                <w:szCs w:val="24"/>
              </w:rPr>
              <w:t>≤</w:t>
            </w:r>
            <w:r>
              <w:rPr>
                <w:sz w:val="24"/>
                <w:szCs w:val="24"/>
              </w:rPr>
              <w:t>60</w:t>
            </w:r>
          </w:p>
        </w:tc>
        <w:tc>
          <w:tcPr>
            <w:tcW w:w="896" w:type="dxa"/>
            <w:shd w:val="clear" w:color="auto" w:fill="auto"/>
            <w:vAlign w:val="center"/>
          </w:tcPr>
          <w:p>
            <w:pPr>
              <w:pStyle w:val="11"/>
              <w:rPr>
                <w:sz w:val="24"/>
                <w:szCs w:val="24"/>
              </w:rPr>
            </w:pPr>
            <w:r>
              <w:rPr>
                <w:rFonts w:hint="eastAsia"/>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975" w:type="dxa"/>
            <w:vMerge w:val="continue"/>
            <w:shd w:val="clear" w:color="auto" w:fill="auto"/>
            <w:vAlign w:val="center"/>
          </w:tcPr>
          <w:p>
            <w:pPr>
              <w:pStyle w:val="11"/>
              <w:rPr>
                <w:sz w:val="24"/>
                <w:szCs w:val="24"/>
              </w:rPr>
            </w:pPr>
          </w:p>
        </w:tc>
        <w:tc>
          <w:tcPr>
            <w:tcW w:w="2856" w:type="dxa"/>
            <w:shd w:val="clear" w:color="auto" w:fill="auto"/>
            <w:vAlign w:val="center"/>
          </w:tcPr>
          <w:p>
            <w:pPr>
              <w:pStyle w:val="11"/>
              <w:rPr>
                <w:sz w:val="24"/>
                <w:szCs w:val="24"/>
              </w:rPr>
            </w:pPr>
            <w:r>
              <w:rPr>
                <w:rFonts w:hint="eastAsia"/>
                <w:sz w:val="24"/>
                <w:szCs w:val="24"/>
              </w:rPr>
              <w:t>工业用地</w:t>
            </w:r>
          </w:p>
        </w:tc>
        <w:tc>
          <w:tcPr>
            <w:tcW w:w="1551" w:type="dxa"/>
            <w:shd w:val="clear" w:color="auto" w:fill="auto"/>
            <w:vAlign w:val="center"/>
          </w:tcPr>
          <w:p>
            <w:pPr>
              <w:pStyle w:val="11"/>
              <w:rPr>
                <w:sz w:val="24"/>
                <w:szCs w:val="24"/>
              </w:rPr>
            </w:pPr>
            <w:r>
              <w:rPr>
                <w:rFonts w:hint="eastAsia"/>
                <w:sz w:val="24"/>
                <w:szCs w:val="24"/>
              </w:rPr>
              <w:t>0.8-3.5</w:t>
            </w:r>
          </w:p>
        </w:tc>
        <w:tc>
          <w:tcPr>
            <w:tcW w:w="2270" w:type="dxa"/>
            <w:shd w:val="clear" w:color="auto" w:fill="auto"/>
            <w:vAlign w:val="center"/>
          </w:tcPr>
          <w:p>
            <w:pPr>
              <w:pStyle w:val="11"/>
              <w:rPr>
                <w:sz w:val="24"/>
                <w:szCs w:val="24"/>
              </w:rPr>
            </w:pPr>
            <w:r>
              <w:rPr>
                <w:rFonts w:hint="eastAsia"/>
                <w:sz w:val="24"/>
                <w:szCs w:val="24"/>
              </w:rPr>
              <w:t>35-60</w:t>
            </w:r>
          </w:p>
        </w:tc>
        <w:tc>
          <w:tcPr>
            <w:tcW w:w="2088" w:type="dxa"/>
            <w:shd w:val="clear" w:color="auto" w:fill="auto"/>
            <w:vAlign w:val="center"/>
          </w:tcPr>
          <w:p>
            <w:pPr>
              <w:pStyle w:val="11"/>
              <w:rPr>
                <w:sz w:val="24"/>
                <w:szCs w:val="24"/>
              </w:rPr>
            </w:pPr>
            <w:r>
              <w:rPr>
                <w:rFonts w:hint="eastAsia"/>
                <w:sz w:val="24"/>
                <w:szCs w:val="24"/>
              </w:rPr>
              <w:t>≤20</w:t>
            </w:r>
          </w:p>
        </w:tc>
        <w:tc>
          <w:tcPr>
            <w:tcW w:w="2030" w:type="dxa"/>
            <w:shd w:val="clear" w:color="auto" w:fill="auto"/>
            <w:vAlign w:val="center"/>
          </w:tcPr>
          <w:p>
            <w:pPr>
              <w:pStyle w:val="11"/>
              <w:rPr>
                <w:sz w:val="24"/>
                <w:szCs w:val="24"/>
              </w:rPr>
            </w:pPr>
            <w:r>
              <w:rPr>
                <w:rFonts w:hint="eastAsia"/>
                <w:sz w:val="24"/>
                <w:szCs w:val="24"/>
              </w:rPr>
              <w:t>≤60</w:t>
            </w:r>
          </w:p>
        </w:tc>
        <w:tc>
          <w:tcPr>
            <w:tcW w:w="896" w:type="dxa"/>
            <w:shd w:val="clear" w:color="auto" w:fill="auto"/>
            <w:vAlign w:val="center"/>
          </w:tcPr>
          <w:p>
            <w:pPr>
              <w:pStyle w:val="11"/>
              <w:rPr>
                <w:sz w:val="24"/>
                <w:szCs w:val="24"/>
              </w:rPr>
            </w:pPr>
            <w:r>
              <w:rPr>
                <w:rFonts w:hint="eastAsia"/>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975" w:type="dxa"/>
            <w:vMerge w:val="continue"/>
            <w:shd w:val="clear" w:color="auto" w:fill="auto"/>
            <w:vAlign w:val="center"/>
          </w:tcPr>
          <w:p>
            <w:pPr>
              <w:pStyle w:val="11"/>
              <w:rPr>
                <w:sz w:val="24"/>
                <w:szCs w:val="24"/>
              </w:rPr>
            </w:pPr>
          </w:p>
        </w:tc>
        <w:tc>
          <w:tcPr>
            <w:tcW w:w="2856" w:type="dxa"/>
            <w:shd w:val="clear" w:color="auto" w:fill="auto"/>
            <w:vAlign w:val="center"/>
          </w:tcPr>
          <w:p>
            <w:pPr>
              <w:pStyle w:val="11"/>
              <w:rPr>
                <w:sz w:val="24"/>
                <w:szCs w:val="24"/>
              </w:rPr>
            </w:pPr>
            <w:r>
              <w:rPr>
                <w:rFonts w:hint="eastAsia"/>
                <w:sz w:val="24"/>
                <w:szCs w:val="24"/>
              </w:rPr>
              <w:t>仓储用地</w:t>
            </w:r>
          </w:p>
        </w:tc>
        <w:tc>
          <w:tcPr>
            <w:tcW w:w="1551" w:type="dxa"/>
            <w:shd w:val="clear" w:color="auto" w:fill="auto"/>
            <w:vAlign w:val="center"/>
          </w:tcPr>
          <w:p>
            <w:pPr>
              <w:pStyle w:val="11"/>
              <w:rPr>
                <w:sz w:val="24"/>
                <w:szCs w:val="24"/>
              </w:rPr>
            </w:pPr>
            <w:r>
              <w:rPr>
                <w:rFonts w:hint="eastAsia"/>
                <w:sz w:val="24"/>
                <w:szCs w:val="24"/>
              </w:rPr>
              <w:t>≤3.5</w:t>
            </w:r>
          </w:p>
        </w:tc>
        <w:tc>
          <w:tcPr>
            <w:tcW w:w="2270" w:type="dxa"/>
            <w:shd w:val="clear" w:color="auto" w:fill="auto"/>
            <w:vAlign w:val="center"/>
          </w:tcPr>
          <w:p>
            <w:pPr>
              <w:pStyle w:val="11"/>
              <w:rPr>
                <w:sz w:val="24"/>
                <w:szCs w:val="24"/>
              </w:rPr>
            </w:pPr>
            <w:r>
              <w:rPr>
                <w:rFonts w:hint="eastAsia"/>
                <w:sz w:val="24"/>
                <w:szCs w:val="24"/>
              </w:rPr>
              <w:t>35-60</w:t>
            </w:r>
          </w:p>
        </w:tc>
        <w:tc>
          <w:tcPr>
            <w:tcW w:w="2088" w:type="dxa"/>
            <w:shd w:val="clear" w:color="auto" w:fill="auto"/>
            <w:vAlign w:val="center"/>
          </w:tcPr>
          <w:p>
            <w:pPr>
              <w:pStyle w:val="11"/>
              <w:rPr>
                <w:sz w:val="24"/>
                <w:szCs w:val="24"/>
              </w:rPr>
            </w:pPr>
            <w:r>
              <w:rPr>
                <w:rFonts w:hint="eastAsia"/>
                <w:sz w:val="24"/>
                <w:szCs w:val="24"/>
              </w:rPr>
              <w:t>≤20</w:t>
            </w:r>
          </w:p>
        </w:tc>
        <w:tc>
          <w:tcPr>
            <w:tcW w:w="2030" w:type="dxa"/>
            <w:shd w:val="clear" w:color="auto" w:fill="auto"/>
            <w:vAlign w:val="center"/>
          </w:tcPr>
          <w:p>
            <w:pPr>
              <w:pStyle w:val="11"/>
              <w:rPr>
                <w:sz w:val="24"/>
                <w:szCs w:val="24"/>
              </w:rPr>
            </w:pPr>
            <w:r>
              <w:rPr>
                <w:rFonts w:hint="eastAsia"/>
                <w:sz w:val="24"/>
                <w:szCs w:val="24"/>
              </w:rPr>
              <w:t>≤50</w:t>
            </w:r>
          </w:p>
        </w:tc>
        <w:tc>
          <w:tcPr>
            <w:tcW w:w="896" w:type="dxa"/>
            <w:shd w:val="clear" w:color="auto" w:fill="auto"/>
            <w:vAlign w:val="center"/>
          </w:tcPr>
          <w:p>
            <w:pPr>
              <w:pStyle w:val="11"/>
              <w:rPr>
                <w:sz w:val="24"/>
                <w:szCs w:val="24"/>
              </w:rPr>
            </w:pPr>
            <w:r>
              <w:rPr>
                <w:rFonts w:hint="eastAsia"/>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975" w:type="dxa"/>
            <w:vMerge w:val="continue"/>
            <w:shd w:val="clear" w:color="auto" w:fill="auto"/>
            <w:vAlign w:val="center"/>
          </w:tcPr>
          <w:p>
            <w:pPr>
              <w:pStyle w:val="11"/>
              <w:rPr>
                <w:sz w:val="24"/>
                <w:szCs w:val="24"/>
              </w:rPr>
            </w:pPr>
          </w:p>
        </w:tc>
        <w:tc>
          <w:tcPr>
            <w:tcW w:w="2856" w:type="dxa"/>
            <w:shd w:val="clear" w:color="auto" w:fill="auto"/>
            <w:vAlign w:val="center"/>
          </w:tcPr>
          <w:p>
            <w:pPr>
              <w:pStyle w:val="11"/>
              <w:rPr>
                <w:sz w:val="24"/>
                <w:szCs w:val="24"/>
              </w:rPr>
            </w:pPr>
            <w:r>
              <w:rPr>
                <w:rFonts w:hint="eastAsia"/>
                <w:sz w:val="24"/>
                <w:szCs w:val="24"/>
              </w:rPr>
              <w:t>公用设施用地</w:t>
            </w:r>
          </w:p>
        </w:tc>
        <w:tc>
          <w:tcPr>
            <w:tcW w:w="1551" w:type="dxa"/>
            <w:shd w:val="clear" w:color="auto" w:fill="auto"/>
            <w:vAlign w:val="center"/>
          </w:tcPr>
          <w:p>
            <w:pPr>
              <w:pStyle w:val="11"/>
              <w:rPr>
                <w:sz w:val="24"/>
                <w:szCs w:val="24"/>
              </w:rPr>
            </w:pPr>
            <w:r>
              <w:rPr>
                <w:rFonts w:hint="eastAsia"/>
                <w:sz w:val="24"/>
                <w:szCs w:val="24"/>
              </w:rPr>
              <w:t>≤1.5</w:t>
            </w:r>
          </w:p>
        </w:tc>
        <w:tc>
          <w:tcPr>
            <w:tcW w:w="2270" w:type="dxa"/>
            <w:shd w:val="clear" w:color="auto" w:fill="auto"/>
            <w:vAlign w:val="center"/>
          </w:tcPr>
          <w:p>
            <w:pPr>
              <w:pStyle w:val="11"/>
              <w:rPr>
                <w:sz w:val="24"/>
                <w:szCs w:val="24"/>
              </w:rPr>
            </w:pPr>
            <w:r>
              <w:rPr>
                <w:rFonts w:hint="eastAsia"/>
                <w:sz w:val="24"/>
                <w:szCs w:val="24"/>
              </w:rPr>
              <w:t>≤40</w:t>
            </w:r>
          </w:p>
        </w:tc>
        <w:tc>
          <w:tcPr>
            <w:tcW w:w="2088" w:type="dxa"/>
            <w:shd w:val="clear" w:color="auto" w:fill="auto"/>
            <w:vAlign w:val="center"/>
          </w:tcPr>
          <w:p>
            <w:pPr>
              <w:pStyle w:val="11"/>
              <w:rPr>
                <w:sz w:val="24"/>
                <w:szCs w:val="24"/>
              </w:rPr>
            </w:pPr>
            <w:r>
              <w:rPr>
                <w:rFonts w:hint="eastAsia"/>
                <w:sz w:val="24"/>
                <w:szCs w:val="24"/>
              </w:rPr>
              <w:t>≥15</w:t>
            </w:r>
          </w:p>
        </w:tc>
        <w:tc>
          <w:tcPr>
            <w:tcW w:w="2030" w:type="dxa"/>
            <w:shd w:val="clear" w:color="auto" w:fill="auto"/>
            <w:vAlign w:val="center"/>
          </w:tcPr>
          <w:p>
            <w:pPr>
              <w:pStyle w:val="11"/>
              <w:rPr>
                <w:sz w:val="24"/>
                <w:szCs w:val="24"/>
              </w:rPr>
            </w:pPr>
            <w:r>
              <w:rPr>
                <w:rFonts w:hint="eastAsia"/>
                <w:sz w:val="24"/>
                <w:szCs w:val="24"/>
              </w:rPr>
              <w:t>≤36</w:t>
            </w:r>
          </w:p>
        </w:tc>
        <w:tc>
          <w:tcPr>
            <w:tcW w:w="896" w:type="dxa"/>
            <w:shd w:val="clear" w:color="auto" w:fill="auto"/>
            <w:vAlign w:val="center"/>
          </w:tcPr>
          <w:p>
            <w:pPr>
              <w:pStyle w:val="11"/>
              <w:rPr>
                <w:sz w:val="24"/>
                <w:szCs w:val="24"/>
              </w:rPr>
            </w:pPr>
            <w:r>
              <w:rPr>
                <w:rFonts w:hint="eastAsia"/>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975" w:type="dxa"/>
            <w:vMerge w:val="restart"/>
            <w:shd w:val="clear" w:color="auto" w:fill="auto"/>
            <w:vAlign w:val="center"/>
          </w:tcPr>
          <w:p>
            <w:pPr>
              <w:pStyle w:val="11"/>
              <w:rPr>
                <w:sz w:val="24"/>
                <w:szCs w:val="24"/>
              </w:rPr>
            </w:pPr>
            <w:r>
              <w:rPr>
                <w:rFonts w:hint="eastAsia"/>
                <w:sz w:val="24"/>
                <w:szCs w:val="24"/>
              </w:rPr>
              <w:t>特色保护类</w:t>
            </w:r>
          </w:p>
        </w:tc>
        <w:tc>
          <w:tcPr>
            <w:tcW w:w="2856" w:type="dxa"/>
            <w:shd w:val="clear" w:color="auto" w:fill="auto"/>
            <w:vAlign w:val="center"/>
          </w:tcPr>
          <w:p>
            <w:pPr>
              <w:pStyle w:val="11"/>
              <w:rPr>
                <w:sz w:val="24"/>
                <w:szCs w:val="24"/>
              </w:rPr>
            </w:pPr>
            <w:r>
              <w:rPr>
                <w:rFonts w:hint="eastAsia"/>
                <w:sz w:val="24"/>
                <w:szCs w:val="24"/>
              </w:rPr>
              <w:t>居住用地</w:t>
            </w:r>
          </w:p>
        </w:tc>
        <w:tc>
          <w:tcPr>
            <w:tcW w:w="1551" w:type="dxa"/>
            <w:shd w:val="clear" w:color="auto" w:fill="auto"/>
            <w:vAlign w:val="center"/>
          </w:tcPr>
          <w:p>
            <w:pPr>
              <w:pStyle w:val="11"/>
              <w:rPr>
                <w:sz w:val="24"/>
                <w:szCs w:val="24"/>
              </w:rPr>
            </w:pPr>
            <w:r>
              <w:rPr>
                <w:rFonts w:hint="eastAsia"/>
                <w:sz w:val="24"/>
                <w:szCs w:val="24"/>
              </w:rPr>
              <w:t>≤3.0</w:t>
            </w:r>
          </w:p>
        </w:tc>
        <w:tc>
          <w:tcPr>
            <w:tcW w:w="2270" w:type="dxa"/>
            <w:shd w:val="clear" w:color="auto" w:fill="auto"/>
            <w:vAlign w:val="center"/>
          </w:tcPr>
          <w:p>
            <w:pPr>
              <w:pStyle w:val="11"/>
              <w:rPr>
                <w:sz w:val="24"/>
                <w:szCs w:val="24"/>
              </w:rPr>
            </w:pPr>
            <w:r>
              <w:rPr>
                <w:rFonts w:hint="eastAsia"/>
                <w:sz w:val="24"/>
                <w:szCs w:val="24"/>
              </w:rPr>
              <w:t>≤40</w:t>
            </w:r>
          </w:p>
        </w:tc>
        <w:tc>
          <w:tcPr>
            <w:tcW w:w="2088" w:type="dxa"/>
            <w:shd w:val="clear" w:color="auto" w:fill="auto"/>
            <w:vAlign w:val="center"/>
          </w:tcPr>
          <w:p>
            <w:pPr>
              <w:pStyle w:val="11"/>
              <w:rPr>
                <w:sz w:val="24"/>
                <w:szCs w:val="24"/>
              </w:rPr>
            </w:pPr>
            <w:r>
              <w:rPr>
                <w:rFonts w:hint="eastAsia"/>
                <w:sz w:val="24"/>
                <w:szCs w:val="24"/>
              </w:rPr>
              <w:t>≥25</w:t>
            </w:r>
          </w:p>
        </w:tc>
        <w:tc>
          <w:tcPr>
            <w:tcW w:w="2030" w:type="dxa"/>
            <w:shd w:val="clear" w:color="auto" w:fill="auto"/>
            <w:vAlign w:val="center"/>
          </w:tcPr>
          <w:p>
            <w:pPr>
              <w:pStyle w:val="11"/>
              <w:rPr>
                <w:sz w:val="24"/>
                <w:szCs w:val="24"/>
              </w:rPr>
            </w:pPr>
            <w:r>
              <w:rPr>
                <w:rFonts w:hint="eastAsia"/>
                <w:sz w:val="24"/>
                <w:szCs w:val="24"/>
              </w:rPr>
              <w:t>≤54</w:t>
            </w:r>
          </w:p>
        </w:tc>
        <w:tc>
          <w:tcPr>
            <w:tcW w:w="896" w:type="dxa"/>
            <w:shd w:val="clear" w:color="auto" w:fill="auto"/>
            <w:vAlign w:val="center"/>
          </w:tcPr>
          <w:p>
            <w:pPr>
              <w:pStyle w:val="11"/>
              <w:rPr>
                <w:sz w:val="24"/>
                <w:szCs w:val="24"/>
              </w:rPr>
            </w:pPr>
            <w:r>
              <w:rPr>
                <w:rFonts w:hint="eastAsia"/>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975" w:type="dxa"/>
            <w:vMerge w:val="continue"/>
            <w:shd w:val="clear" w:color="auto" w:fill="auto"/>
            <w:vAlign w:val="center"/>
          </w:tcPr>
          <w:p>
            <w:pPr>
              <w:pStyle w:val="11"/>
              <w:rPr>
                <w:sz w:val="24"/>
                <w:szCs w:val="24"/>
              </w:rPr>
            </w:pPr>
          </w:p>
        </w:tc>
        <w:tc>
          <w:tcPr>
            <w:tcW w:w="2856" w:type="dxa"/>
            <w:shd w:val="clear" w:color="auto" w:fill="auto"/>
            <w:vAlign w:val="center"/>
          </w:tcPr>
          <w:p>
            <w:pPr>
              <w:pStyle w:val="11"/>
              <w:rPr>
                <w:sz w:val="24"/>
                <w:szCs w:val="24"/>
              </w:rPr>
            </w:pPr>
            <w:r>
              <w:rPr>
                <w:rFonts w:hint="eastAsia"/>
                <w:sz w:val="24"/>
                <w:szCs w:val="24"/>
              </w:rPr>
              <w:t>公共管理与公共服务用地</w:t>
            </w:r>
          </w:p>
        </w:tc>
        <w:tc>
          <w:tcPr>
            <w:tcW w:w="1551" w:type="dxa"/>
            <w:shd w:val="clear" w:color="auto" w:fill="auto"/>
            <w:vAlign w:val="center"/>
          </w:tcPr>
          <w:p>
            <w:pPr>
              <w:pStyle w:val="11"/>
              <w:rPr>
                <w:sz w:val="24"/>
                <w:szCs w:val="24"/>
              </w:rPr>
            </w:pPr>
            <w:r>
              <w:rPr>
                <w:rFonts w:hint="eastAsia"/>
                <w:sz w:val="24"/>
                <w:szCs w:val="24"/>
              </w:rPr>
              <w:t>≤2.0</w:t>
            </w:r>
          </w:p>
        </w:tc>
        <w:tc>
          <w:tcPr>
            <w:tcW w:w="2270" w:type="dxa"/>
            <w:shd w:val="clear" w:color="auto" w:fill="auto"/>
            <w:vAlign w:val="center"/>
          </w:tcPr>
          <w:p>
            <w:pPr>
              <w:pStyle w:val="11"/>
              <w:rPr>
                <w:sz w:val="24"/>
                <w:szCs w:val="24"/>
              </w:rPr>
            </w:pPr>
            <w:r>
              <w:rPr>
                <w:rFonts w:hint="eastAsia"/>
                <w:sz w:val="24"/>
                <w:szCs w:val="24"/>
              </w:rPr>
              <w:t>≤40</w:t>
            </w:r>
          </w:p>
        </w:tc>
        <w:tc>
          <w:tcPr>
            <w:tcW w:w="2088" w:type="dxa"/>
            <w:shd w:val="clear" w:color="auto" w:fill="auto"/>
            <w:vAlign w:val="center"/>
          </w:tcPr>
          <w:p>
            <w:pPr>
              <w:pStyle w:val="11"/>
              <w:rPr>
                <w:sz w:val="24"/>
                <w:szCs w:val="24"/>
              </w:rPr>
            </w:pPr>
            <w:r>
              <w:rPr>
                <w:rFonts w:hint="eastAsia"/>
                <w:sz w:val="24"/>
                <w:szCs w:val="24"/>
              </w:rPr>
              <w:t>≥35</w:t>
            </w:r>
          </w:p>
        </w:tc>
        <w:tc>
          <w:tcPr>
            <w:tcW w:w="2030" w:type="dxa"/>
            <w:shd w:val="clear" w:color="auto" w:fill="auto"/>
            <w:vAlign w:val="center"/>
          </w:tcPr>
          <w:p>
            <w:pPr>
              <w:pStyle w:val="11"/>
              <w:rPr>
                <w:sz w:val="24"/>
                <w:szCs w:val="24"/>
              </w:rPr>
            </w:pPr>
            <w:r>
              <w:rPr>
                <w:rFonts w:hint="eastAsia"/>
                <w:sz w:val="24"/>
                <w:szCs w:val="24"/>
              </w:rPr>
              <w:t>≤36</w:t>
            </w:r>
          </w:p>
        </w:tc>
        <w:tc>
          <w:tcPr>
            <w:tcW w:w="896" w:type="dxa"/>
            <w:shd w:val="clear" w:color="auto" w:fill="auto"/>
            <w:vAlign w:val="center"/>
          </w:tcPr>
          <w:p>
            <w:pPr>
              <w:pStyle w:val="11"/>
              <w:rPr>
                <w:sz w:val="24"/>
                <w:szCs w:val="24"/>
              </w:rPr>
            </w:pPr>
            <w:r>
              <w:rPr>
                <w:rFonts w:hint="eastAsia"/>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975" w:type="dxa"/>
            <w:vMerge w:val="continue"/>
            <w:shd w:val="clear" w:color="auto" w:fill="auto"/>
            <w:vAlign w:val="center"/>
          </w:tcPr>
          <w:p>
            <w:pPr>
              <w:pStyle w:val="11"/>
              <w:rPr>
                <w:sz w:val="24"/>
                <w:szCs w:val="24"/>
              </w:rPr>
            </w:pPr>
          </w:p>
        </w:tc>
        <w:tc>
          <w:tcPr>
            <w:tcW w:w="2856" w:type="dxa"/>
            <w:shd w:val="clear" w:color="auto" w:fill="auto"/>
            <w:vAlign w:val="center"/>
          </w:tcPr>
          <w:p>
            <w:pPr>
              <w:pStyle w:val="11"/>
              <w:rPr>
                <w:sz w:val="24"/>
                <w:szCs w:val="24"/>
              </w:rPr>
            </w:pPr>
            <w:r>
              <w:rPr>
                <w:rFonts w:hint="eastAsia"/>
                <w:sz w:val="24"/>
                <w:szCs w:val="24"/>
              </w:rPr>
              <w:t>商业服务业用地</w:t>
            </w:r>
          </w:p>
        </w:tc>
        <w:tc>
          <w:tcPr>
            <w:tcW w:w="1551" w:type="dxa"/>
            <w:shd w:val="clear" w:color="auto" w:fill="auto"/>
            <w:vAlign w:val="center"/>
          </w:tcPr>
          <w:p>
            <w:pPr>
              <w:pStyle w:val="11"/>
              <w:rPr>
                <w:sz w:val="24"/>
                <w:szCs w:val="24"/>
              </w:rPr>
            </w:pPr>
            <w:r>
              <w:rPr>
                <w:rFonts w:hint="eastAsia"/>
                <w:sz w:val="24"/>
                <w:szCs w:val="24"/>
              </w:rPr>
              <w:t>≤3.0</w:t>
            </w:r>
          </w:p>
        </w:tc>
        <w:tc>
          <w:tcPr>
            <w:tcW w:w="2270" w:type="dxa"/>
            <w:shd w:val="clear" w:color="auto" w:fill="auto"/>
            <w:vAlign w:val="center"/>
          </w:tcPr>
          <w:p>
            <w:pPr>
              <w:pStyle w:val="11"/>
              <w:rPr>
                <w:sz w:val="24"/>
                <w:szCs w:val="24"/>
              </w:rPr>
            </w:pPr>
            <w:r>
              <w:rPr>
                <w:rFonts w:hint="eastAsia"/>
                <w:sz w:val="24"/>
                <w:szCs w:val="24"/>
              </w:rPr>
              <w:t>≤40</w:t>
            </w:r>
          </w:p>
        </w:tc>
        <w:tc>
          <w:tcPr>
            <w:tcW w:w="2088" w:type="dxa"/>
            <w:shd w:val="clear" w:color="auto" w:fill="auto"/>
            <w:vAlign w:val="center"/>
          </w:tcPr>
          <w:p>
            <w:pPr>
              <w:pStyle w:val="11"/>
              <w:rPr>
                <w:sz w:val="24"/>
                <w:szCs w:val="24"/>
              </w:rPr>
            </w:pPr>
            <w:r>
              <w:rPr>
                <w:rFonts w:hint="eastAsia"/>
                <w:sz w:val="24"/>
                <w:szCs w:val="24"/>
              </w:rPr>
              <w:t>≥25</w:t>
            </w:r>
          </w:p>
        </w:tc>
        <w:tc>
          <w:tcPr>
            <w:tcW w:w="2030" w:type="dxa"/>
            <w:shd w:val="clear" w:color="auto" w:fill="auto"/>
            <w:vAlign w:val="center"/>
          </w:tcPr>
          <w:p>
            <w:pPr>
              <w:pStyle w:val="11"/>
              <w:rPr>
                <w:sz w:val="24"/>
                <w:szCs w:val="24"/>
              </w:rPr>
            </w:pPr>
            <w:r>
              <w:rPr>
                <w:rFonts w:hint="eastAsia"/>
                <w:sz w:val="24"/>
                <w:szCs w:val="24"/>
              </w:rPr>
              <w:t>≤30</w:t>
            </w:r>
          </w:p>
        </w:tc>
        <w:tc>
          <w:tcPr>
            <w:tcW w:w="896" w:type="dxa"/>
            <w:shd w:val="clear" w:color="auto" w:fill="auto"/>
            <w:vAlign w:val="center"/>
          </w:tcPr>
          <w:p>
            <w:pPr>
              <w:pStyle w:val="11"/>
              <w:rPr>
                <w:sz w:val="24"/>
                <w:szCs w:val="24"/>
              </w:rPr>
            </w:pPr>
            <w:r>
              <w:rPr>
                <w:rFonts w:hint="eastAsia"/>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975" w:type="dxa"/>
            <w:vMerge w:val="continue"/>
            <w:shd w:val="clear" w:color="auto" w:fill="auto"/>
            <w:vAlign w:val="center"/>
          </w:tcPr>
          <w:p>
            <w:pPr>
              <w:pStyle w:val="11"/>
              <w:rPr>
                <w:sz w:val="24"/>
                <w:szCs w:val="24"/>
              </w:rPr>
            </w:pPr>
          </w:p>
        </w:tc>
        <w:tc>
          <w:tcPr>
            <w:tcW w:w="2856" w:type="dxa"/>
            <w:shd w:val="clear" w:color="auto" w:fill="auto"/>
            <w:vAlign w:val="center"/>
          </w:tcPr>
          <w:p>
            <w:pPr>
              <w:pStyle w:val="11"/>
              <w:rPr>
                <w:sz w:val="24"/>
                <w:szCs w:val="24"/>
              </w:rPr>
            </w:pPr>
            <w:r>
              <w:rPr>
                <w:rFonts w:hint="eastAsia"/>
                <w:sz w:val="24"/>
                <w:szCs w:val="24"/>
              </w:rPr>
              <w:t>工业用地</w:t>
            </w:r>
          </w:p>
        </w:tc>
        <w:tc>
          <w:tcPr>
            <w:tcW w:w="1551" w:type="dxa"/>
            <w:shd w:val="clear" w:color="auto" w:fill="auto"/>
            <w:vAlign w:val="center"/>
          </w:tcPr>
          <w:p>
            <w:pPr>
              <w:pStyle w:val="11"/>
              <w:rPr>
                <w:sz w:val="24"/>
                <w:szCs w:val="24"/>
              </w:rPr>
            </w:pPr>
            <w:r>
              <w:rPr>
                <w:rFonts w:hint="eastAsia"/>
                <w:sz w:val="24"/>
                <w:szCs w:val="24"/>
              </w:rPr>
              <w:t>0.8-3.5</w:t>
            </w:r>
          </w:p>
        </w:tc>
        <w:tc>
          <w:tcPr>
            <w:tcW w:w="2270" w:type="dxa"/>
            <w:shd w:val="clear" w:color="auto" w:fill="auto"/>
            <w:vAlign w:val="center"/>
          </w:tcPr>
          <w:p>
            <w:pPr>
              <w:pStyle w:val="11"/>
              <w:rPr>
                <w:sz w:val="24"/>
                <w:szCs w:val="24"/>
              </w:rPr>
            </w:pPr>
            <w:r>
              <w:rPr>
                <w:rFonts w:hint="eastAsia"/>
                <w:sz w:val="24"/>
                <w:szCs w:val="24"/>
              </w:rPr>
              <w:t>35-60</w:t>
            </w:r>
          </w:p>
        </w:tc>
        <w:tc>
          <w:tcPr>
            <w:tcW w:w="2088" w:type="dxa"/>
            <w:shd w:val="clear" w:color="auto" w:fill="auto"/>
            <w:vAlign w:val="center"/>
          </w:tcPr>
          <w:p>
            <w:pPr>
              <w:pStyle w:val="11"/>
              <w:rPr>
                <w:sz w:val="24"/>
                <w:szCs w:val="24"/>
              </w:rPr>
            </w:pPr>
            <w:r>
              <w:rPr>
                <w:rFonts w:hint="eastAsia"/>
                <w:sz w:val="24"/>
                <w:szCs w:val="24"/>
              </w:rPr>
              <w:t>≤20</w:t>
            </w:r>
          </w:p>
        </w:tc>
        <w:tc>
          <w:tcPr>
            <w:tcW w:w="2030" w:type="dxa"/>
            <w:shd w:val="clear" w:color="auto" w:fill="auto"/>
            <w:vAlign w:val="center"/>
          </w:tcPr>
          <w:p>
            <w:pPr>
              <w:pStyle w:val="11"/>
              <w:rPr>
                <w:sz w:val="24"/>
                <w:szCs w:val="24"/>
              </w:rPr>
            </w:pPr>
            <w:r>
              <w:rPr>
                <w:rFonts w:hint="eastAsia"/>
                <w:sz w:val="24"/>
                <w:szCs w:val="24"/>
              </w:rPr>
              <w:t>≤36</w:t>
            </w:r>
          </w:p>
        </w:tc>
        <w:tc>
          <w:tcPr>
            <w:tcW w:w="896" w:type="dxa"/>
            <w:shd w:val="clear" w:color="auto" w:fill="auto"/>
            <w:vAlign w:val="center"/>
          </w:tcPr>
          <w:p>
            <w:pPr>
              <w:pStyle w:val="11"/>
              <w:rPr>
                <w:sz w:val="24"/>
                <w:szCs w:val="24"/>
              </w:rPr>
            </w:pPr>
            <w:r>
              <w:rPr>
                <w:rFonts w:hint="eastAsia"/>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975" w:type="dxa"/>
            <w:vMerge w:val="continue"/>
            <w:shd w:val="clear" w:color="auto" w:fill="auto"/>
            <w:vAlign w:val="center"/>
          </w:tcPr>
          <w:p>
            <w:pPr>
              <w:pStyle w:val="11"/>
              <w:rPr>
                <w:sz w:val="24"/>
                <w:szCs w:val="24"/>
              </w:rPr>
            </w:pPr>
          </w:p>
        </w:tc>
        <w:tc>
          <w:tcPr>
            <w:tcW w:w="2856" w:type="dxa"/>
            <w:shd w:val="clear" w:color="auto" w:fill="auto"/>
            <w:vAlign w:val="center"/>
          </w:tcPr>
          <w:p>
            <w:pPr>
              <w:pStyle w:val="11"/>
              <w:rPr>
                <w:sz w:val="24"/>
                <w:szCs w:val="24"/>
              </w:rPr>
            </w:pPr>
            <w:r>
              <w:rPr>
                <w:rFonts w:hint="eastAsia"/>
                <w:sz w:val="24"/>
                <w:szCs w:val="24"/>
              </w:rPr>
              <w:t>仓储用地</w:t>
            </w:r>
          </w:p>
        </w:tc>
        <w:tc>
          <w:tcPr>
            <w:tcW w:w="1551" w:type="dxa"/>
            <w:shd w:val="clear" w:color="auto" w:fill="auto"/>
            <w:vAlign w:val="center"/>
          </w:tcPr>
          <w:p>
            <w:pPr>
              <w:pStyle w:val="11"/>
              <w:rPr>
                <w:sz w:val="24"/>
                <w:szCs w:val="24"/>
              </w:rPr>
            </w:pPr>
            <w:r>
              <w:rPr>
                <w:rFonts w:hint="eastAsia"/>
                <w:sz w:val="24"/>
                <w:szCs w:val="24"/>
              </w:rPr>
              <w:t>≤3.0</w:t>
            </w:r>
          </w:p>
        </w:tc>
        <w:tc>
          <w:tcPr>
            <w:tcW w:w="2270" w:type="dxa"/>
            <w:shd w:val="clear" w:color="auto" w:fill="auto"/>
            <w:vAlign w:val="center"/>
          </w:tcPr>
          <w:p>
            <w:pPr>
              <w:pStyle w:val="11"/>
              <w:rPr>
                <w:sz w:val="24"/>
                <w:szCs w:val="24"/>
              </w:rPr>
            </w:pPr>
            <w:r>
              <w:rPr>
                <w:rFonts w:hint="eastAsia"/>
                <w:sz w:val="24"/>
                <w:szCs w:val="24"/>
              </w:rPr>
              <w:t>35-60</w:t>
            </w:r>
          </w:p>
        </w:tc>
        <w:tc>
          <w:tcPr>
            <w:tcW w:w="2088" w:type="dxa"/>
            <w:shd w:val="clear" w:color="auto" w:fill="auto"/>
            <w:vAlign w:val="center"/>
          </w:tcPr>
          <w:p>
            <w:pPr>
              <w:pStyle w:val="11"/>
              <w:rPr>
                <w:sz w:val="24"/>
                <w:szCs w:val="24"/>
              </w:rPr>
            </w:pPr>
            <w:r>
              <w:rPr>
                <w:rFonts w:hint="eastAsia"/>
                <w:sz w:val="24"/>
                <w:szCs w:val="24"/>
              </w:rPr>
              <w:t>≤20</w:t>
            </w:r>
          </w:p>
        </w:tc>
        <w:tc>
          <w:tcPr>
            <w:tcW w:w="2030" w:type="dxa"/>
            <w:shd w:val="clear" w:color="auto" w:fill="auto"/>
            <w:vAlign w:val="center"/>
          </w:tcPr>
          <w:p>
            <w:pPr>
              <w:pStyle w:val="11"/>
              <w:rPr>
                <w:sz w:val="24"/>
                <w:szCs w:val="24"/>
              </w:rPr>
            </w:pPr>
            <w:r>
              <w:rPr>
                <w:rFonts w:hint="eastAsia"/>
                <w:sz w:val="24"/>
                <w:szCs w:val="24"/>
              </w:rPr>
              <w:t>≤36</w:t>
            </w:r>
          </w:p>
        </w:tc>
        <w:tc>
          <w:tcPr>
            <w:tcW w:w="896" w:type="dxa"/>
            <w:shd w:val="clear" w:color="auto" w:fill="auto"/>
            <w:vAlign w:val="center"/>
          </w:tcPr>
          <w:p>
            <w:pPr>
              <w:pStyle w:val="11"/>
              <w:rPr>
                <w:sz w:val="24"/>
                <w:szCs w:val="24"/>
              </w:rPr>
            </w:pPr>
            <w:r>
              <w:rPr>
                <w:rFonts w:hint="eastAsia"/>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975" w:type="dxa"/>
            <w:vMerge w:val="continue"/>
            <w:shd w:val="clear" w:color="auto" w:fill="auto"/>
            <w:vAlign w:val="center"/>
          </w:tcPr>
          <w:p>
            <w:pPr>
              <w:pStyle w:val="11"/>
              <w:rPr>
                <w:sz w:val="24"/>
                <w:szCs w:val="24"/>
              </w:rPr>
            </w:pPr>
          </w:p>
        </w:tc>
        <w:tc>
          <w:tcPr>
            <w:tcW w:w="2856" w:type="dxa"/>
            <w:shd w:val="clear" w:color="auto" w:fill="auto"/>
            <w:vAlign w:val="center"/>
          </w:tcPr>
          <w:p>
            <w:pPr>
              <w:pStyle w:val="11"/>
              <w:rPr>
                <w:sz w:val="24"/>
                <w:szCs w:val="24"/>
              </w:rPr>
            </w:pPr>
            <w:r>
              <w:rPr>
                <w:rFonts w:hint="eastAsia"/>
                <w:sz w:val="24"/>
                <w:szCs w:val="24"/>
              </w:rPr>
              <w:t>公用设施用地</w:t>
            </w:r>
          </w:p>
        </w:tc>
        <w:tc>
          <w:tcPr>
            <w:tcW w:w="1551" w:type="dxa"/>
            <w:shd w:val="clear" w:color="auto" w:fill="auto"/>
            <w:vAlign w:val="center"/>
          </w:tcPr>
          <w:p>
            <w:pPr>
              <w:pStyle w:val="11"/>
              <w:rPr>
                <w:sz w:val="24"/>
                <w:szCs w:val="24"/>
              </w:rPr>
            </w:pPr>
            <w:r>
              <w:rPr>
                <w:rFonts w:hint="eastAsia"/>
                <w:sz w:val="24"/>
                <w:szCs w:val="24"/>
              </w:rPr>
              <w:t>≤1.5</w:t>
            </w:r>
          </w:p>
        </w:tc>
        <w:tc>
          <w:tcPr>
            <w:tcW w:w="2270" w:type="dxa"/>
            <w:shd w:val="clear" w:color="auto" w:fill="auto"/>
            <w:vAlign w:val="center"/>
          </w:tcPr>
          <w:p>
            <w:pPr>
              <w:pStyle w:val="11"/>
              <w:rPr>
                <w:sz w:val="24"/>
                <w:szCs w:val="24"/>
              </w:rPr>
            </w:pPr>
            <w:r>
              <w:rPr>
                <w:rFonts w:hint="eastAsia"/>
                <w:sz w:val="24"/>
                <w:szCs w:val="24"/>
              </w:rPr>
              <w:t>≤40</w:t>
            </w:r>
          </w:p>
        </w:tc>
        <w:tc>
          <w:tcPr>
            <w:tcW w:w="2088" w:type="dxa"/>
            <w:shd w:val="clear" w:color="auto" w:fill="auto"/>
            <w:vAlign w:val="center"/>
          </w:tcPr>
          <w:p>
            <w:pPr>
              <w:pStyle w:val="11"/>
              <w:rPr>
                <w:sz w:val="24"/>
                <w:szCs w:val="24"/>
              </w:rPr>
            </w:pPr>
            <w:r>
              <w:rPr>
                <w:rFonts w:hint="eastAsia"/>
                <w:sz w:val="24"/>
                <w:szCs w:val="24"/>
              </w:rPr>
              <w:t>≥15</w:t>
            </w:r>
          </w:p>
        </w:tc>
        <w:tc>
          <w:tcPr>
            <w:tcW w:w="2030" w:type="dxa"/>
            <w:shd w:val="clear" w:color="auto" w:fill="auto"/>
            <w:vAlign w:val="center"/>
          </w:tcPr>
          <w:p>
            <w:pPr>
              <w:pStyle w:val="11"/>
              <w:rPr>
                <w:sz w:val="24"/>
                <w:szCs w:val="24"/>
              </w:rPr>
            </w:pPr>
            <w:r>
              <w:rPr>
                <w:rFonts w:hint="eastAsia"/>
                <w:sz w:val="24"/>
                <w:szCs w:val="24"/>
              </w:rPr>
              <w:t>≤36</w:t>
            </w:r>
          </w:p>
        </w:tc>
        <w:tc>
          <w:tcPr>
            <w:tcW w:w="896" w:type="dxa"/>
            <w:shd w:val="clear" w:color="auto" w:fill="auto"/>
            <w:vAlign w:val="center"/>
          </w:tcPr>
          <w:p>
            <w:pPr>
              <w:pStyle w:val="11"/>
              <w:rPr>
                <w:sz w:val="24"/>
                <w:szCs w:val="24"/>
              </w:rPr>
            </w:pPr>
            <w:r>
              <w:rPr>
                <w:rFonts w:hint="eastAsia"/>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975" w:type="dxa"/>
            <w:vMerge w:val="restart"/>
            <w:shd w:val="clear" w:color="auto" w:fill="auto"/>
            <w:vAlign w:val="center"/>
          </w:tcPr>
          <w:p>
            <w:pPr>
              <w:pStyle w:val="11"/>
              <w:rPr>
                <w:sz w:val="24"/>
                <w:szCs w:val="24"/>
              </w:rPr>
            </w:pPr>
            <w:r>
              <w:rPr>
                <w:rFonts w:hint="eastAsia"/>
                <w:sz w:val="24"/>
                <w:szCs w:val="24"/>
              </w:rPr>
              <w:t>一般发展类</w:t>
            </w:r>
          </w:p>
        </w:tc>
        <w:tc>
          <w:tcPr>
            <w:tcW w:w="2856" w:type="dxa"/>
            <w:shd w:val="clear" w:color="auto" w:fill="auto"/>
            <w:vAlign w:val="center"/>
          </w:tcPr>
          <w:p>
            <w:pPr>
              <w:pStyle w:val="11"/>
              <w:rPr>
                <w:sz w:val="24"/>
                <w:szCs w:val="24"/>
              </w:rPr>
            </w:pPr>
            <w:r>
              <w:rPr>
                <w:rFonts w:hint="eastAsia"/>
                <w:sz w:val="24"/>
                <w:szCs w:val="24"/>
              </w:rPr>
              <w:t>居住用地</w:t>
            </w:r>
          </w:p>
        </w:tc>
        <w:tc>
          <w:tcPr>
            <w:tcW w:w="1551" w:type="dxa"/>
            <w:shd w:val="clear" w:color="auto" w:fill="auto"/>
            <w:vAlign w:val="center"/>
          </w:tcPr>
          <w:p>
            <w:pPr>
              <w:pStyle w:val="11"/>
              <w:rPr>
                <w:sz w:val="24"/>
                <w:szCs w:val="24"/>
              </w:rPr>
            </w:pPr>
            <w:r>
              <w:rPr>
                <w:rFonts w:hint="eastAsia"/>
                <w:sz w:val="24"/>
                <w:szCs w:val="24"/>
              </w:rPr>
              <w:t>≤3.0</w:t>
            </w:r>
          </w:p>
        </w:tc>
        <w:tc>
          <w:tcPr>
            <w:tcW w:w="2270" w:type="dxa"/>
            <w:shd w:val="clear" w:color="auto" w:fill="auto"/>
            <w:vAlign w:val="center"/>
          </w:tcPr>
          <w:p>
            <w:pPr>
              <w:pStyle w:val="11"/>
              <w:rPr>
                <w:sz w:val="24"/>
                <w:szCs w:val="24"/>
              </w:rPr>
            </w:pPr>
            <w:r>
              <w:rPr>
                <w:rFonts w:hint="eastAsia"/>
                <w:sz w:val="24"/>
                <w:szCs w:val="24"/>
              </w:rPr>
              <w:t>≤40</w:t>
            </w:r>
          </w:p>
        </w:tc>
        <w:tc>
          <w:tcPr>
            <w:tcW w:w="2088" w:type="dxa"/>
            <w:shd w:val="clear" w:color="auto" w:fill="auto"/>
            <w:vAlign w:val="center"/>
          </w:tcPr>
          <w:p>
            <w:pPr>
              <w:pStyle w:val="11"/>
              <w:rPr>
                <w:sz w:val="24"/>
                <w:szCs w:val="24"/>
              </w:rPr>
            </w:pPr>
            <w:r>
              <w:rPr>
                <w:rFonts w:hint="eastAsia"/>
                <w:sz w:val="24"/>
                <w:szCs w:val="24"/>
              </w:rPr>
              <w:t>≥25</w:t>
            </w:r>
          </w:p>
        </w:tc>
        <w:tc>
          <w:tcPr>
            <w:tcW w:w="2030" w:type="dxa"/>
            <w:shd w:val="clear" w:color="auto" w:fill="auto"/>
            <w:vAlign w:val="center"/>
          </w:tcPr>
          <w:p>
            <w:pPr>
              <w:pStyle w:val="11"/>
              <w:rPr>
                <w:sz w:val="24"/>
                <w:szCs w:val="24"/>
              </w:rPr>
            </w:pPr>
            <w:r>
              <w:rPr>
                <w:rFonts w:hint="eastAsia"/>
                <w:sz w:val="24"/>
                <w:szCs w:val="24"/>
              </w:rPr>
              <w:t>≤54</w:t>
            </w:r>
          </w:p>
        </w:tc>
        <w:tc>
          <w:tcPr>
            <w:tcW w:w="896" w:type="dxa"/>
            <w:shd w:val="clear" w:color="auto" w:fill="auto"/>
            <w:vAlign w:val="center"/>
          </w:tcPr>
          <w:p>
            <w:pPr>
              <w:pStyle w:val="11"/>
              <w:rPr>
                <w:sz w:val="24"/>
                <w:szCs w:val="24"/>
              </w:rPr>
            </w:pPr>
            <w:r>
              <w:rPr>
                <w:rFonts w:hint="eastAsia"/>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975" w:type="dxa"/>
            <w:vMerge w:val="continue"/>
            <w:shd w:val="clear" w:color="auto" w:fill="auto"/>
            <w:vAlign w:val="center"/>
          </w:tcPr>
          <w:p>
            <w:pPr>
              <w:pStyle w:val="11"/>
              <w:rPr>
                <w:sz w:val="24"/>
                <w:szCs w:val="24"/>
              </w:rPr>
            </w:pPr>
          </w:p>
        </w:tc>
        <w:tc>
          <w:tcPr>
            <w:tcW w:w="2856" w:type="dxa"/>
            <w:shd w:val="clear" w:color="auto" w:fill="auto"/>
            <w:vAlign w:val="center"/>
          </w:tcPr>
          <w:p>
            <w:pPr>
              <w:pStyle w:val="11"/>
              <w:rPr>
                <w:sz w:val="24"/>
                <w:szCs w:val="24"/>
              </w:rPr>
            </w:pPr>
            <w:r>
              <w:rPr>
                <w:rFonts w:hint="eastAsia"/>
                <w:sz w:val="24"/>
                <w:szCs w:val="24"/>
              </w:rPr>
              <w:t>公共管理与公共服务用地</w:t>
            </w:r>
          </w:p>
        </w:tc>
        <w:tc>
          <w:tcPr>
            <w:tcW w:w="1551" w:type="dxa"/>
            <w:shd w:val="clear" w:color="auto" w:fill="auto"/>
            <w:vAlign w:val="center"/>
          </w:tcPr>
          <w:p>
            <w:pPr>
              <w:pStyle w:val="11"/>
              <w:rPr>
                <w:sz w:val="24"/>
                <w:szCs w:val="24"/>
              </w:rPr>
            </w:pPr>
            <w:r>
              <w:rPr>
                <w:rFonts w:hint="eastAsia"/>
                <w:sz w:val="24"/>
                <w:szCs w:val="24"/>
              </w:rPr>
              <w:t>≤2.5</w:t>
            </w:r>
          </w:p>
        </w:tc>
        <w:tc>
          <w:tcPr>
            <w:tcW w:w="2270" w:type="dxa"/>
            <w:shd w:val="clear" w:color="auto" w:fill="auto"/>
            <w:vAlign w:val="center"/>
          </w:tcPr>
          <w:p>
            <w:pPr>
              <w:pStyle w:val="11"/>
              <w:rPr>
                <w:sz w:val="24"/>
                <w:szCs w:val="24"/>
              </w:rPr>
            </w:pPr>
            <w:r>
              <w:rPr>
                <w:rFonts w:hint="eastAsia"/>
                <w:sz w:val="24"/>
                <w:szCs w:val="24"/>
              </w:rPr>
              <w:t>≤40</w:t>
            </w:r>
          </w:p>
        </w:tc>
        <w:tc>
          <w:tcPr>
            <w:tcW w:w="2088" w:type="dxa"/>
            <w:shd w:val="clear" w:color="auto" w:fill="auto"/>
            <w:vAlign w:val="center"/>
          </w:tcPr>
          <w:p>
            <w:pPr>
              <w:pStyle w:val="11"/>
              <w:rPr>
                <w:sz w:val="24"/>
                <w:szCs w:val="24"/>
              </w:rPr>
            </w:pPr>
            <w:r>
              <w:rPr>
                <w:rFonts w:hint="eastAsia"/>
                <w:sz w:val="24"/>
                <w:szCs w:val="24"/>
              </w:rPr>
              <w:t>≥35</w:t>
            </w:r>
          </w:p>
        </w:tc>
        <w:tc>
          <w:tcPr>
            <w:tcW w:w="2030" w:type="dxa"/>
            <w:shd w:val="clear" w:color="auto" w:fill="auto"/>
            <w:vAlign w:val="center"/>
          </w:tcPr>
          <w:p>
            <w:pPr>
              <w:pStyle w:val="11"/>
              <w:rPr>
                <w:sz w:val="24"/>
                <w:szCs w:val="24"/>
              </w:rPr>
            </w:pPr>
            <w:r>
              <w:rPr>
                <w:rFonts w:hint="eastAsia"/>
                <w:sz w:val="24"/>
                <w:szCs w:val="24"/>
              </w:rPr>
              <w:t>≤36</w:t>
            </w:r>
          </w:p>
        </w:tc>
        <w:tc>
          <w:tcPr>
            <w:tcW w:w="896" w:type="dxa"/>
            <w:shd w:val="clear" w:color="auto" w:fill="auto"/>
            <w:vAlign w:val="center"/>
          </w:tcPr>
          <w:p>
            <w:pPr>
              <w:pStyle w:val="11"/>
              <w:rPr>
                <w:sz w:val="24"/>
                <w:szCs w:val="24"/>
              </w:rPr>
            </w:pPr>
            <w:r>
              <w:rPr>
                <w:rFonts w:hint="eastAsia"/>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975" w:type="dxa"/>
            <w:vMerge w:val="continue"/>
            <w:shd w:val="clear" w:color="auto" w:fill="auto"/>
            <w:vAlign w:val="center"/>
          </w:tcPr>
          <w:p>
            <w:pPr>
              <w:pStyle w:val="11"/>
              <w:rPr>
                <w:sz w:val="24"/>
                <w:szCs w:val="24"/>
              </w:rPr>
            </w:pPr>
          </w:p>
        </w:tc>
        <w:tc>
          <w:tcPr>
            <w:tcW w:w="2856" w:type="dxa"/>
            <w:shd w:val="clear" w:color="auto" w:fill="auto"/>
            <w:vAlign w:val="center"/>
          </w:tcPr>
          <w:p>
            <w:pPr>
              <w:pStyle w:val="11"/>
              <w:rPr>
                <w:sz w:val="24"/>
                <w:szCs w:val="24"/>
              </w:rPr>
            </w:pPr>
            <w:r>
              <w:rPr>
                <w:rFonts w:hint="eastAsia"/>
                <w:sz w:val="24"/>
                <w:szCs w:val="24"/>
              </w:rPr>
              <w:t>商业服务业用地</w:t>
            </w:r>
          </w:p>
        </w:tc>
        <w:tc>
          <w:tcPr>
            <w:tcW w:w="1551" w:type="dxa"/>
            <w:shd w:val="clear" w:color="auto" w:fill="auto"/>
            <w:vAlign w:val="center"/>
          </w:tcPr>
          <w:p>
            <w:pPr>
              <w:pStyle w:val="11"/>
              <w:rPr>
                <w:sz w:val="24"/>
                <w:szCs w:val="24"/>
              </w:rPr>
            </w:pPr>
            <w:r>
              <w:rPr>
                <w:rFonts w:hint="eastAsia"/>
                <w:sz w:val="24"/>
                <w:szCs w:val="24"/>
              </w:rPr>
              <w:t>≤3.0</w:t>
            </w:r>
          </w:p>
        </w:tc>
        <w:tc>
          <w:tcPr>
            <w:tcW w:w="2270" w:type="dxa"/>
            <w:shd w:val="clear" w:color="auto" w:fill="auto"/>
            <w:vAlign w:val="center"/>
          </w:tcPr>
          <w:p>
            <w:pPr>
              <w:pStyle w:val="11"/>
              <w:rPr>
                <w:sz w:val="24"/>
                <w:szCs w:val="24"/>
              </w:rPr>
            </w:pPr>
            <w:r>
              <w:rPr>
                <w:rFonts w:hint="eastAsia"/>
                <w:sz w:val="24"/>
                <w:szCs w:val="24"/>
              </w:rPr>
              <w:t>≤40</w:t>
            </w:r>
          </w:p>
        </w:tc>
        <w:tc>
          <w:tcPr>
            <w:tcW w:w="2088" w:type="dxa"/>
            <w:shd w:val="clear" w:color="auto" w:fill="auto"/>
            <w:vAlign w:val="center"/>
          </w:tcPr>
          <w:p>
            <w:pPr>
              <w:pStyle w:val="11"/>
              <w:rPr>
                <w:sz w:val="24"/>
                <w:szCs w:val="24"/>
              </w:rPr>
            </w:pPr>
            <w:r>
              <w:rPr>
                <w:rFonts w:hint="eastAsia"/>
                <w:sz w:val="24"/>
                <w:szCs w:val="24"/>
              </w:rPr>
              <w:t>≥25</w:t>
            </w:r>
          </w:p>
        </w:tc>
        <w:tc>
          <w:tcPr>
            <w:tcW w:w="2030" w:type="dxa"/>
            <w:shd w:val="clear" w:color="auto" w:fill="auto"/>
            <w:vAlign w:val="center"/>
          </w:tcPr>
          <w:p>
            <w:pPr>
              <w:pStyle w:val="11"/>
              <w:rPr>
                <w:sz w:val="24"/>
                <w:szCs w:val="24"/>
              </w:rPr>
            </w:pPr>
            <w:r>
              <w:rPr>
                <w:rFonts w:hint="eastAsia"/>
                <w:sz w:val="24"/>
                <w:szCs w:val="24"/>
              </w:rPr>
              <w:t>≤40</w:t>
            </w:r>
          </w:p>
        </w:tc>
        <w:tc>
          <w:tcPr>
            <w:tcW w:w="896" w:type="dxa"/>
            <w:shd w:val="clear" w:color="auto" w:fill="auto"/>
            <w:vAlign w:val="center"/>
          </w:tcPr>
          <w:p>
            <w:pPr>
              <w:pStyle w:val="11"/>
              <w:rPr>
                <w:sz w:val="24"/>
                <w:szCs w:val="24"/>
              </w:rPr>
            </w:pPr>
            <w:r>
              <w:rPr>
                <w:rFonts w:hint="eastAsia"/>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975" w:type="dxa"/>
            <w:vMerge w:val="continue"/>
            <w:shd w:val="clear" w:color="auto" w:fill="auto"/>
            <w:vAlign w:val="center"/>
          </w:tcPr>
          <w:p>
            <w:pPr>
              <w:pStyle w:val="11"/>
              <w:rPr>
                <w:sz w:val="24"/>
                <w:szCs w:val="24"/>
              </w:rPr>
            </w:pPr>
          </w:p>
        </w:tc>
        <w:tc>
          <w:tcPr>
            <w:tcW w:w="2856" w:type="dxa"/>
            <w:shd w:val="clear" w:color="auto" w:fill="auto"/>
            <w:vAlign w:val="center"/>
          </w:tcPr>
          <w:p>
            <w:pPr>
              <w:pStyle w:val="11"/>
              <w:rPr>
                <w:sz w:val="24"/>
                <w:szCs w:val="24"/>
              </w:rPr>
            </w:pPr>
            <w:r>
              <w:rPr>
                <w:rFonts w:hint="eastAsia"/>
                <w:sz w:val="24"/>
                <w:szCs w:val="24"/>
              </w:rPr>
              <w:t>工业用地</w:t>
            </w:r>
          </w:p>
        </w:tc>
        <w:tc>
          <w:tcPr>
            <w:tcW w:w="1551" w:type="dxa"/>
            <w:shd w:val="clear" w:color="auto" w:fill="auto"/>
            <w:vAlign w:val="center"/>
          </w:tcPr>
          <w:p>
            <w:pPr>
              <w:pStyle w:val="11"/>
              <w:rPr>
                <w:sz w:val="24"/>
                <w:szCs w:val="24"/>
              </w:rPr>
            </w:pPr>
            <w:r>
              <w:rPr>
                <w:rFonts w:hint="eastAsia"/>
                <w:sz w:val="24"/>
                <w:szCs w:val="24"/>
              </w:rPr>
              <w:t>0.8-3.5</w:t>
            </w:r>
          </w:p>
        </w:tc>
        <w:tc>
          <w:tcPr>
            <w:tcW w:w="2270" w:type="dxa"/>
            <w:shd w:val="clear" w:color="auto" w:fill="auto"/>
            <w:vAlign w:val="center"/>
          </w:tcPr>
          <w:p>
            <w:pPr>
              <w:pStyle w:val="11"/>
              <w:rPr>
                <w:sz w:val="24"/>
                <w:szCs w:val="24"/>
              </w:rPr>
            </w:pPr>
            <w:r>
              <w:rPr>
                <w:rFonts w:hint="eastAsia"/>
                <w:sz w:val="24"/>
                <w:szCs w:val="24"/>
              </w:rPr>
              <w:t>35-60</w:t>
            </w:r>
          </w:p>
        </w:tc>
        <w:tc>
          <w:tcPr>
            <w:tcW w:w="2088" w:type="dxa"/>
            <w:shd w:val="clear" w:color="auto" w:fill="auto"/>
            <w:vAlign w:val="center"/>
          </w:tcPr>
          <w:p>
            <w:pPr>
              <w:pStyle w:val="11"/>
              <w:rPr>
                <w:sz w:val="24"/>
                <w:szCs w:val="24"/>
              </w:rPr>
            </w:pPr>
            <w:r>
              <w:rPr>
                <w:rFonts w:hint="eastAsia"/>
                <w:sz w:val="24"/>
                <w:szCs w:val="24"/>
              </w:rPr>
              <w:t>≤20</w:t>
            </w:r>
          </w:p>
        </w:tc>
        <w:tc>
          <w:tcPr>
            <w:tcW w:w="2030" w:type="dxa"/>
            <w:shd w:val="clear" w:color="auto" w:fill="auto"/>
            <w:vAlign w:val="center"/>
          </w:tcPr>
          <w:p>
            <w:pPr>
              <w:pStyle w:val="11"/>
              <w:rPr>
                <w:sz w:val="24"/>
                <w:szCs w:val="24"/>
              </w:rPr>
            </w:pPr>
            <w:r>
              <w:rPr>
                <w:rFonts w:hint="eastAsia"/>
                <w:sz w:val="24"/>
                <w:szCs w:val="24"/>
              </w:rPr>
              <w:t>≤36</w:t>
            </w:r>
          </w:p>
        </w:tc>
        <w:tc>
          <w:tcPr>
            <w:tcW w:w="896" w:type="dxa"/>
            <w:shd w:val="clear" w:color="auto" w:fill="auto"/>
            <w:vAlign w:val="center"/>
          </w:tcPr>
          <w:p>
            <w:pPr>
              <w:pStyle w:val="11"/>
              <w:rPr>
                <w:sz w:val="24"/>
                <w:szCs w:val="24"/>
              </w:rPr>
            </w:pPr>
            <w:r>
              <w:rPr>
                <w:rFonts w:hint="eastAsia"/>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975" w:type="dxa"/>
            <w:vMerge w:val="continue"/>
            <w:shd w:val="clear" w:color="auto" w:fill="auto"/>
            <w:vAlign w:val="center"/>
          </w:tcPr>
          <w:p>
            <w:pPr>
              <w:pStyle w:val="11"/>
              <w:rPr>
                <w:sz w:val="24"/>
                <w:szCs w:val="24"/>
              </w:rPr>
            </w:pPr>
          </w:p>
        </w:tc>
        <w:tc>
          <w:tcPr>
            <w:tcW w:w="2856" w:type="dxa"/>
            <w:shd w:val="clear" w:color="auto" w:fill="auto"/>
            <w:vAlign w:val="center"/>
          </w:tcPr>
          <w:p>
            <w:pPr>
              <w:pStyle w:val="11"/>
              <w:rPr>
                <w:sz w:val="24"/>
                <w:szCs w:val="24"/>
              </w:rPr>
            </w:pPr>
            <w:r>
              <w:rPr>
                <w:rFonts w:hint="eastAsia"/>
                <w:sz w:val="24"/>
                <w:szCs w:val="24"/>
              </w:rPr>
              <w:t>仓储用地</w:t>
            </w:r>
          </w:p>
        </w:tc>
        <w:tc>
          <w:tcPr>
            <w:tcW w:w="1551" w:type="dxa"/>
            <w:shd w:val="clear" w:color="auto" w:fill="auto"/>
            <w:vAlign w:val="center"/>
          </w:tcPr>
          <w:p>
            <w:pPr>
              <w:pStyle w:val="11"/>
              <w:rPr>
                <w:sz w:val="24"/>
                <w:szCs w:val="24"/>
              </w:rPr>
            </w:pPr>
            <w:r>
              <w:rPr>
                <w:rFonts w:hint="eastAsia"/>
                <w:sz w:val="24"/>
                <w:szCs w:val="24"/>
              </w:rPr>
              <w:t>≤3.0</w:t>
            </w:r>
          </w:p>
        </w:tc>
        <w:tc>
          <w:tcPr>
            <w:tcW w:w="2270" w:type="dxa"/>
            <w:shd w:val="clear" w:color="auto" w:fill="auto"/>
            <w:vAlign w:val="center"/>
          </w:tcPr>
          <w:p>
            <w:pPr>
              <w:pStyle w:val="11"/>
              <w:rPr>
                <w:sz w:val="24"/>
                <w:szCs w:val="24"/>
              </w:rPr>
            </w:pPr>
            <w:r>
              <w:rPr>
                <w:rFonts w:hint="eastAsia"/>
                <w:sz w:val="24"/>
                <w:szCs w:val="24"/>
              </w:rPr>
              <w:t>35-60</w:t>
            </w:r>
          </w:p>
        </w:tc>
        <w:tc>
          <w:tcPr>
            <w:tcW w:w="2088" w:type="dxa"/>
            <w:shd w:val="clear" w:color="auto" w:fill="auto"/>
            <w:vAlign w:val="center"/>
          </w:tcPr>
          <w:p>
            <w:pPr>
              <w:pStyle w:val="11"/>
              <w:rPr>
                <w:sz w:val="24"/>
                <w:szCs w:val="24"/>
              </w:rPr>
            </w:pPr>
            <w:r>
              <w:rPr>
                <w:rFonts w:hint="eastAsia"/>
                <w:sz w:val="24"/>
                <w:szCs w:val="24"/>
              </w:rPr>
              <w:t>≤20</w:t>
            </w:r>
          </w:p>
        </w:tc>
        <w:tc>
          <w:tcPr>
            <w:tcW w:w="2030" w:type="dxa"/>
            <w:shd w:val="clear" w:color="auto" w:fill="auto"/>
            <w:vAlign w:val="center"/>
          </w:tcPr>
          <w:p>
            <w:pPr>
              <w:pStyle w:val="11"/>
              <w:rPr>
                <w:sz w:val="24"/>
                <w:szCs w:val="24"/>
              </w:rPr>
            </w:pPr>
            <w:r>
              <w:rPr>
                <w:rFonts w:hint="eastAsia"/>
                <w:sz w:val="24"/>
                <w:szCs w:val="24"/>
              </w:rPr>
              <w:t>≤36</w:t>
            </w:r>
          </w:p>
        </w:tc>
        <w:tc>
          <w:tcPr>
            <w:tcW w:w="896" w:type="dxa"/>
            <w:shd w:val="clear" w:color="auto" w:fill="auto"/>
            <w:vAlign w:val="center"/>
          </w:tcPr>
          <w:p>
            <w:pPr>
              <w:pStyle w:val="11"/>
              <w:rPr>
                <w:sz w:val="24"/>
                <w:szCs w:val="24"/>
              </w:rPr>
            </w:pPr>
            <w:r>
              <w:rPr>
                <w:rFonts w:hint="eastAsia"/>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975" w:type="dxa"/>
            <w:vMerge w:val="continue"/>
            <w:shd w:val="clear" w:color="auto" w:fill="auto"/>
            <w:vAlign w:val="center"/>
          </w:tcPr>
          <w:p>
            <w:pPr>
              <w:pStyle w:val="11"/>
              <w:rPr>
                <w:sz w:val="24"/>
                <w:szCs w:val="24"/>
              </w:rPr>
            </w:pPr>
          </w:p>
        </w:tc>
        <w:tc>
          <w:tcPr>
            <w:tcW w:w="2856" w:type="dxa"/>
            <w:shd w:val="clear" w:color="auto" w:fill="auto"/>
            <w:vAlign w:val="center"/>
          </w:tcPr>
          <w:p>
            <w:pPr>
              <w:pStyle w:val="11"/>
              <w:rPr>
                <w:sz w:val="24"/>
                <w:szCs w:val="24"/>
              </w:rPr>
            </w:pPr>
            <w:r>
              <w:rPr>
                <w:rFonts w:hint="eastAsia"/>
                <w:sz w:val="24"/>
                <w:szCs w:val="24"/>
              </w:rPr>
              <w:t>公用设施用地</w:t>
            </w:r>
          </w:p>
        </w:tc>
        <w:tc>
          <w:tcPr>
            <w:tcW w:w="1551" w:type="dxa"/>
            <w:shd w:val="clear" w:color="auto" w:fill="auto"/>
            <w:vAlign w:val="center"/>
          </w:tcPr>
          <w:p>
            <w:pPr>
              <w:pStyle w:val="11"/>
              <w:rPr>
                <w:sz w:val="24"/>
                <w:szCs w:val="24"/>
              </w:rPr>
            </w:pPr>
            <w:r>
              <w:rPr>
                <w:rFonts w:hint="eastAsia"/>
                <w:sz w:val="24"/>
                <w:szCs w:val="24"/>
              </w:rPr>
              <w:t>≤1.5</w:t>
            </w:r>
          </w:p>
        </w:tc>
        <w:tc>
          <w:tcPr>
            <w:tcW w:w="2270" w:type="dxa"/>
            <w:shd w:val="clear" w:color="auto" w:fill="auto"/>
            <w:vAlign w:val="center"/>
          </w:tcPr>
          <w:p>
            <w:pPr>
              <w:pStyle w:val="11"/>
              <w:rPr>
                <w:sz w:val="24"/>
                <w:szCs w:val="24"/>
              </w:rPr>
            </w:pPr>
            <w:r>
              <w:rPr>
                <w:rFonts w:hint="eastAsia"/>
                <w:sz w:val="24"/>
                <w:szCs w:val="24"/>
              </w:rPr>
              <w:t>≤40</w:t>
            </w:r>
          </w:p>
        </w:tc>
        <w:tc>
          <w:tcPr>
            <w:tcW w:w="2088" w:type="dxa"/>
            <w:shd w:val="clear" w:color="auto" w:fill="auto"/>
            <w:vAlign w:val="center"/>
          </w:tcPr>
          <w:p>
            <w:pPr>
              <w:pStyle w:val="11"/>
              <w:rPr>
                <w:sz w:val="24"/>
                <w:szCs w:val="24"/>
              </w:rPr>
            </w:pPr>
            <w:r>
              <w:rPr>
                <w:rFonts w:hint="eastAsia"/>
                <w:sz w:val="24"/>
                <w:szCs w:val="24"/>
              </w:rPr>
              <w:t>≥15</w:t>
            </w:r>
          </w:p>
        </w:tc>
        <w:tc>
          <w:tcPr>
            <w:tcW w:w="2030" w:type="dxa"/>
            <w:shd w:val="clear" w:color="auto" w:fill="auto"/>
            <w:vAlign w:val="center"/>
          </w:tcPr>
          <w:p>
            <w:pPr>
              <w:pStyle w:val="11"/>
              <w:rPr>
                <w:sz w:val="24"/>
                <w:szCs w:val="24"/>
              </w:rPr>
            </w:pPr>
            <w:r>
              <w:rPr>
                <w:rFonts w:hint="eastAsia"/>
                <w:sz w:val="24"/>
                <w:szCs w:val="24"/>
              </w:rPr>
              <w:t>≤36</w:t>
            </w:r>
          </w:p>
        </w:tc>
        <w:tc>
          <w:tcPr>
            <w:tcW w:w="896" w:type="dxa"/>
            <w:shd w:val="clear" w:color="auto" w:fill="auto"/>
            <w:vAlign w:val="center"/>
          </w:tcPr>
          <w:p>
            <w:pPr>
              <w:pStyle w:val="11"/>
              <w:rPr>
                <w:sz w:val="24"/>
                <w:szCs w:val="24"/>
              </w:rPr>
            </w:pPr>
            <w:r>
              <w:rPr>
                <w:rFonts w:hint="eastAsia"/>
                <w:sz w:val="24"/>
                <w:szCs w:val="24"/>
              </w:rPr>
              <w:t>/</w:t>
            </w:r>
          </w:p>
        </w:tc>
      </w:tr>
    </w:tbl>
    <w:p>
      <w:pPr>
        <w:ind w:firstLine="480" w:firstLineChars="200"/>
        <w:rPr>
          <w:rFonts w:ascii="Times New Roman" w:hAnsi="Times New Roman" w:eastAsia="仿宋_GB2312" w:cs="Times New Roman"/>
          <w:color w:val="000000" w:themeColor="text1"/>
          <w:sz w:val="24"/>
          <w:szCs w:val="20"/>
          <w14:textFill>
            <w14:solidFill>
              <w14:schemeClr w14:val="tx1"/>
            </w14:solidFill>
          </w14:textFill>
        </w:rPr>
      </w:pPr>
      <w:r>
        <w:rPr>
          <w:rFonts w:hint="eastAsia" w:ascii="Times New Roman" w:hAnsi="Times New Roman" w:eastAsia="仿宋_GB2312" w:cs="Times New Roman"/>
          <w:color w:val="000000" w:themeColor="text1"/>
          <w:sz w:val="24"/>
          <w:szCs w:val="20"/>
          <w14:textFill>
            <w14:solidFill>
              <w14:schemeClr w14:val="tx1"/>
            </w14:solidFill>
          </w14:textFill>
        </w:rPr>
        <w:t>注：1.村庄分类具体以根据《关于印发〈广东省村庄分类办法〉的通知》（粤农农〔2023〕135号）的有关要求，经全县村庄分类村级申报、镇级审核工作，并</w:t>
      </w:r>
      <w:r>
        <w:rPr>
          <w:rFonts w:hint="eastAsia" w:ascii="Times New Roman" w:hAnsi="Times New Roman" w:eastAsia="仿宋_GB2312" w:cs="Times New Roman"/>
          <w:color w:val="000000" w:themeColor="text1"/>
          <w:sz w:val="24"/>
          <w:szCs w:val="24"/>
          <w14:textFill>
            <w14:solidFill>
              <w14:schemeClr w14:val="tx1"/>
            </w14:solidFill>
          </w14:textFill>
        </w:rPr>
        <w:t>经农业农村部门报县级</w:t>
      </w:r>
      <w:r>
        <w:rPr>
          <w:rFonts w:hint="eastAsia" w:ascii="Times New Roman" w:hAnsi="Times New Roman" w:eastAsia="仿宋_GB2312" w:cs="Times New Roman"/>
          <w:color w:val="000000" w:themeColor="text1"/>
          <w:sz w:val="24"/>
          <w:szCs w:val="20"/>
          <w14:textFill>
            <w14:solidFill>
              <w14:schemeClr w14:val="tx1"/>
            </w14:solidFill>
          </w14:textFill>
        </w:rPr>
        <w:t>评审会研究通过，公示揭西县村庄分类情况为准。</w:t>
      </w:r>
    </w:p>
    <w:p>
      <w:pPr>
        <w:ind w:firstLine="960" w:firstLineChars="400"/>
        <w:rPr>
          <w:rFonts w:ascii="Times New Roman" w:hAnsi="Times New Roman" w:eastAsia="仿宋_GB2312" w:cs="Times New Roman"/>
          <w:color w:val="000000" w:themeColor="text1"/>
          <w:sz w:val="24"/>
          <w:szCs w:val="20"/>
          <w14:textFill>
            <w14:solidFill>
              <w14:schemeClr w14:val="tx1"/>
            </w14:solidFill>
          </w14:textFill>
        </w:rPr>
      </w:pPr>
      <w:r>
        <w:rPr>
          <w:rFonts w:hint="eastAsia" w:ascii="Times New Roman" w:hAnsi="Times New Roman" w:eastAsia="仿宋_GB2312" w:cs="Times New Roman"/>
          <w:color w:val="000000" w:themeColor="text1"/>
          <w:sz w:val="24"/>
          <w:szCs w:val="20"/>
          <w14:textFill>
            <w14:solidFill>
              <w14:schemeClr w14:val="tx1"/>
            </w14:solidFill>
          </w14:textFill>
        </w:rPr>
        <w:t>2.</w:t>
      </w:r>
      <w:r>
        <w:rPr>
          <w:rFonts w:hint="eastAsia" w:ascii="宋体" w:hAnsi="宋体" w:eastAsia="宋体" w:cs="宋体"/>
          <w:sz w:val="30"/>
          <w:szCs w:val="30"/>
        </w:rPr>
        <w:t xml:space="preserve"> </w:t>
      </w:r>
      <w:r>
        <w:rPr>
          <w:rFonts w:hint="eastAsia" w:ascii="Times New Roman" w:hAnsi="Times New Roman" w:eastAsia="仿宋_GB2312" w:cs="Times New Roman"/>
          <w:color w:val="000000" w:themeColor="text1"/>
          <w:sz w:val="24"/>
          <w:szCs w:val="20"/>
          <w14:textFill>
            <w14:solidFill>
              <w14:schemeClr w14:val="tx1"/>
            </w14:solidFill>
          </w14:textFill>
        </w:rPr>
        <w:t>附表中居住用地仅针对农民公寓或村集体建房。</w:t>
      </w:r>
    </w:p>
    <w:p>
      <w:pPr>
        <w:ind w:firstLine="480" w:firstLineChars="200"/>
        <w:rPr>
          <w:rFonts w:ascii="Times New Roman" w:hAnsi="Times New Roman" w:eastAsia="仿宋_GB2312" w:cs="Times New Roman"/>
          <w:color w:val="000000" w:themeColor="text1"/>
          <w:sz w:val="24"/>
          <w:szCs w:val="20"/>
          <w14:textFill>
            <w14:solidFill>
              <w14:schemeClr w14:val="tx1"/>
            </w14:solidFill>
          </w14:textFill>
        </w:rPr>
      </w:pPr>
    </w:p>
    <w:sectPr>
      <w:pgSz w:w="16838" w:h="11906" w:orient="landscape"/>
      <w:pgMar w:top="1797" w:right="1440" w:bottom="1797" w:left="144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等线 Light">
    <w:panose1 w:val="02010600030101010101"/>
    <w:charset w:val="86"/>
    <w:family w:val="auto"/>
    <w:pitch w:val="default"/>
    <w:sig w:usb0="A00002BF" w:usb1="38CF7CFA" w:usb2="00000016" w:usb3="00000000" w:csb0="0004000F" w:csb1="00000000"/>
  </w:font>
  <w:font w:name="Arial">
    <w:panose1 w:val="020B0604020202020204"/>
    <w:charset w:val="00"/>
    <w:family w:val="auto"/>
    <w:pitch w:val="default"/>
    <w:sig w:usb0="E0002EFF" w:usb1="C000785B" w:usb2="00000009" w:usb3="00000000" w:csb0="400001FF" w:csb1="FFFF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26166708"/>
    </w:sdtPr>
    <w:sdtContent>
      <w:p>
        <w:pPr>
          <w:pStyle w:val="4"/>
          <w:jc w:val="right"/>
          <w:rPr>
            <w:rFonts w:hint="eastAsia"/>
          </w:rPr>
        </w:pPr>
        <w:r>
          <w:fldChar w:fldCharType="begin"/>
        </w:r>
        <w:r>
          <w:instrText xml:space="preserve">PAGE   \* MERGEFORMAT</w:instrText>
        </w:r>
        <w:r>
          <w:fldChar w:fldCharType="separate"/>
        </w:r>
        <w:r>
          <w:rPr>
            <w:lang w:val="zh-CN"/>
          </w:rPr>
          <w:t>14</w:t>
        </w:r>
        <w:r>
          <w:fldChar w:fldCharType="end"/>
        </w:r>
      </w:p>
    </w:sdtContent>
  </w:sdt>
  <w:p>
    <w:pPr>
      <w:pStyle w:val="4"/>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I2ZmE2YTJjZGUyMGI2NmEzNjdlNzFmZjcyNGExZDYifQ=="/>
  </w:docVars>
  <w:rsids>
    <w:rsidRoot w:val="00172A27"/>
    <w:rsid w:val="00007161"/>
    <w:rsid w:val="00010F05"/>
    <w:rsid w:val="00033F59"/>
    <w:rsid w:val="00034662"/>
    <w:rsid w:val="00051263"/>
    <w:rsid w:val="00061506"/>
    <w:rsid w:val="00064381"/>
    <w:rsid w:val="000B4748"/>
    <w:rsid w:val="000C2B05"/>
    <w:rsid w:val="000D72C7"/>
    <w:rsid w:val="000E0E5D"/>
    <w:rsid w:val="000E2B74"/>
    <w:rsid w:val="000F048E"/>
    <w:rsid w:val="00105FF7"/>
    <w:rsid w:val="00172A27"/>
    <w:rsid w:val="00184311"/>
    <w:rsid w:val="00185C35"/>
    <w:rsid w:val="001870ED"/>
    <w:rsid w:val="001B0E50"/>
    <w:rsid w:val="001C7D52"/>
    <w:rsid w:val="001D69BD"/>
    <w:rsid w:val="001E72CD"/>
    <w:rsid w:val="002009D8"/>
    <w:rsid w:val="00244C73"/>
    <w:rsid w:val="00282419"/>
    <w:rsid w:val="0029782E"/>
    <w:rsid w:val="002B69BE"/>
    <w:rsid w:val="002C2255"/>
    <w:rsid w:val="00306D0B"/>
    <w:rsid w:val="00307C50"/>
    <w:rsid w:val="0031090D"/>
    <w:rsid w:val="003109EE"/>
    <w:rsid w:val="00315BF2"/>
    <w:rsid w:val="003266CB"/>
    <w:rsid w:val="00327F5C"/>
    <w:rsid w:val="00366A7B"/>
    <w:rsid w:val="00375F3C"/>
    <w:rsid w:val="00381F54"/>
    <w:rsid w:val="00397BA7"/>
    <w:rsid w:val="003C0525"/>
    <w:rsid w:val="003C37DC"/>
    <w:rsid w:val="003C5DCC"/>
    <w:rsid w:val="003D30E2"/>
    <w:rsid w:val="003E046A"/>
    <w:rsid w:val="00401FC8"/>
    <w:rsid w:val="0041420F"/>
    <w:rsid w:val="00416490"/>
    <w:rsid w:val="00424F10"/>
    <w:rsid w:val="00441A8C"/>
    <w:rsid w:val="004506BB"/>
    <w:rsid w:val="00451871"/>
    <w:rsid w:val="0045462A"/>
    <w:rsid w:val="00454DD5"/>
    <w:rsid w:val="004550EC"/>
    <w:rsid w:val="004730BE"/>
    <w:rsid w:val="00483711"/>
    <w:rsid w:val="004944C0"/>
    <w:rsid w:val="00494885"/>
    <w:rsid w:val="004B52AB"/>
    <w:rsid w:val="004B6BC7"/>
    <w:rsid w:val="004D55E8"/>
    <w:rsid w:val="00527205"/>
    <w:rsid w:val="00560DF9"/>
    <w:rsid w:val="005857D9"/>
    <w:rsid w:val="00591F20"/>
    <w:rsid w:val="005951C2"/>
    <w:rsid w:val="005973B3"/>
    <w:rsid w:val="005B028E"/>
    <w:rsid w:val="005B1F38"/>
    <w:rsid w:val="005B3848"/>
    <w:rsid w:val="005D0A61"/>
    <w:rsid w:val="0061306E"/>
    <w:rsid w:val="0061318F"/>
    <w:rsid w:val="00616313"/>
    <w:rsid w:val="006251E5"/>
    <w:rsid w:val="00630AD0"/>
    <w:rsid w:val="006A7D6F"/>
    <w:rsid w:val="006B2320"/>
    <w:rsid w:val="006D468B"/>
    <w:rsid w:val="006D48AE"/>
    <w:rsid w:val="006F2A25"/>
    <w:rsid w:val="006F6C49"/>
    <w:rsid w:val="0071744B"/>
    <w:rsid w:val="00725BE9"/>
    <w:rsid w:val="00742A2F"/>
    <w:rsid w:val="00745874"/>
    <w:rsid w:val="007542BD"/>
    <w:rsid w:val="00764943"/>
    <w:rsid w:val="00781FAC"/>
    <w:rsid w:val="00782511"/>
    <w:rsid w:val="007901E2"/>
    <w:rsid w:val="007A6A66"/>
    <w:rsid w:val="007C191C"/>
    <w:rsid w:val="007C38C6"/>
    <w:rsid w:val="007D5CE1"/>
    <w:rsid w:val="007D7CAB"/>
    <w:rsid w:val="00813611"/>
    <w:rsid w:val="00827013"/>
    <w:rsid w:val="008476A8"/>
    <w:rsid w:val="00853FD7"/>
    <w:rsid w:val="0087157D"/>
    <w:rsid w:val="00881F06"/>
    <w:rsid w:val="008A2A2C"/>
    <w:rsid w:val="008B0FB6"/>
    <w:rsid w:val="008C3D15"/>
    <w:rsid w:val="008D4ECC"/>
    <w:rsid w:val="00926216"/>
    <w:rsid w:val="009649D8"/>
    <w:rsid w:val="00985E6E"/>
    <w:rsid w:val="009903D1"/>
    <w:rsid w:val="009A3458"/>
    <w:rsid w:val="009C05BD"/>
    <w:rsid w:val="009F1087"/>
    <w:rsid w:val="00A016F9"/>
    <w:rsid w:val="00A027C7"/>
    <w:rsid w:val="00A03228"/>
    <w:rsid w:val="00A036B3"/>
    <w:rsid w:val="00A463B9"/>
    <w:rsid w:val="00A550B5"/>
    <w:rsid w:val="00A72944"/>
    <w:rsid w:val="00A7627B"/>
    <w:rsid w:val="00A815A0"/>
    <w:rsid w:val="00AB2B18"/>
    <w:rsid w:val="00AE0EB3"/>
    <w:rsid w:val="00AF1829"/>
    <w:rsid w:val="00AF26B8"/>
    <w:rsid w:val="00AF5CDF"/>
    <w:rsid w:val="00B12BDC"/>
    <w:rsid w:val="00B36338"/>
    <w:rsid w:val="00B51DE2"/>
    <w:rsid w:val="00B56DAF"/>
    <w:rsid w:val="00B70F7D"/>
    <w:rsid w:val="00B87571"/>
    <w:rsid w:val="00B9138B"/>
    <w:rsid w:val="00BC1A0F"/>
    <w:rsid w:val="00C508EE"/>
    <w:rsid w:val="00C83FCD"/>
    <w:rsid w:val="00C965A5"/>
    <w:rsid w:val="00CA60ED"/>
    <w:rsid w:val="00CC0062"/>
    <w:rsid w:val="00CD7AD6"/>
    <w:rsid w:val="00CE6267"/>
    <w:rsid w:val="00CF32FA"/>
    <w:rsid w:val="00D23989"/>
    <w:rsid w:val="00D26720"/>
    <w:rsid w:val="00D41ADB"/>
    <w:rsid w:val="00D52BC2"/>
    <w:rsid w:val="00DD5611"/>
    <w:rsid w:val="00DF205E"/>
    <w:rsid w:val="00E252AE"/>
    <w:rsid w:val="00E52CA2"/>
    <w:rsid w:val="00E6508B"/>
    <w:rsid w:val="00E76604"/>
    <w:rsid w:val="00E94D06"/>
    <w:rsid w:val="00EB4532"/>
    <w:rsid w:val="00EC0889"/>
    <w:rsid w:val="00EC77A3"/>
    <w:rsid w:val="00EE2F7B"/>
    <w:rsid w:val="00EE4B4A"/>
    <w:rsid w:val="00EF65BC"/>
    <w:rsid w:val="00F16393"/>
    <w:rsid w:val="00F22C49"/>
    <w:rsid w:val="00F32FFE"/>
    <w:rsid w:val="00F75804"/>
    <w:rsid w:val="00FA2C26"/>
    <w:rsid w:val="00FA539A"/>
    <w:rsid w:val="00FD52F2"/>
    <w:rsid w:val="00FD79D4"/>
    <w:rsid w:val="00FF7A7D"/>
    <w:rsid w:val="01FC0828"/>
    <w:rsid w:val="040D6ABC"/>
    <w:rsid w:val="0618429E"/>
    <w:rsid w:val="0D0D1372"/>
    <w:rsid w:val="0F1B3B9A"/>
    <w:rsid w:val="124805B3"/>
    <w:rsid w:val="19E52F31"/>
    <w:rsid w:val="1CD87856"/>
    <w:rsid w:val="2183167E"/>
    <w:rsid w:val="27FA664B"/>
    <w:rsid w:val="2BB74952"/>
    <w:rsid w:val="2DFD14C4"/>
    <w:rsid w:val="2F2C16AC"/>
    <w:rsid w:val="32DD4601"/>
    <w:rsid w:val="34314F1D"/>
    <w:rsid w:val="353B0011"/>
    <w:rsid w:val="362E5545"/>
    <w:rsid w:val="36A0647D"/>
    <w:rsid w:val="36B07229"/>
    <w:rsid w:val="38271EF3"/>
    <w:rsid w:val="38B80A04"/>
    <w:rsid w:val="38C75F64"/>
    <w:rsid w:val="3AA047E1"/>
    <w:rsid w:val="3AC97600"/>
    <w:rsid w:val="3C1F0A13"/>
    <w:rsid w:val="40436E89"/>
    <w:rsid w:val="4126243E"/>
    <w:rsid w:val="41C86304"/>
    <w:rsid w:val="42CD5C27"/>
    <w:rsid w:val="439679B9"/>
    <w:rsid w:val="43EC1F12"/>
    <w:rsid w:val="44EB41CE"/>
    <w:rsid w:val="461F7E08"/>
    <w:rsid w:val="46CC0B0D"/>
    <w:rsid w:val="473F2261"/>
    <w:rsid w:val="4C2E630D"/>
    <w:rsid w:val="4F176BB8"/>
    <w:rsid w:val="560C0489"/>
    <w:rsid w:val="5CCB5ADE"/>
    <w:rsid w:val="629D547C"/>
    <w:rsid w:val="630C0280"/>
    <w:rsid w:val="68292320"/>
    <w:rsid w:val="698428A1"/>
    <w:rsid w:val="6D044933"/>
    <w:rsid w:val="73453542"/>
    <w:rsid w:val="73683D13"/>
    <w:rsid w:val="7AB90841"/>
    <w:rsid w:val="7CB42D17"/>
    <w:rsid w:val="7F037D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next w:val="1"/>
    <w:link w:val="9"/>
    <w:unhideWhenUsed/>
    <w:qFormat/>
    <w:uiPriority w:val="9"/>
    <w:pPr>
      <w:keepNext/>
      <w:keepLines/>
      <w:spacing w:before="260" w:after="260" w:line="416" w:lineRule="auto"/>
      <w:outlineLvl w:val="2"/>
    </w:pPr>
    <w:rPr>
      <w:rFonts w:ascii="Times New Roman" w:hAnsi="Times New Roman" w:eastAsia="黑体" w:cstheme="minorBidi"/>
      <w:b/>
      <w:bCs/>
      <w:kern w:val="2"/>
      <w:sz w:val="30"/>
      <w:szCs w:val="32"/>
      <w:lang w:val="en-US" w:eastAsia="zh-CN" w:bidi="ar-SA"/>
    </w:rPr>
  </w:style>
  <w:style w:type="character" w:default="1" w:styleId="6">
    <w:name w:val="Default Paragraph Font"/>
    <w:unhideWhenUsed/>
    <w:qFormat/>
    <w:uiPriority w:val="1"/>
  </w:style>
  <w:style w:type="table" w:default="1" w:styleId="8">
    <w:name w:val="Normal Table"/>
    <w:unhideWhenUsed/>
    <w:qFormat/>
    <w:uiPriority w:val="99"/>
    <w:tblPr>
      <w:tblLayout w:type="fixed"/>
      <w:tblCellMar>
        <w:top w:w="0" w:type="dxa"/>
        <w:left w:w="108" w:type="dxa"/>
        <w:bottom w:w="0" w:type="dxa"/>
        <w:right w:w="108" w:type="dxa"/>
      </w:tblCellMar>
    </w:tblPr>
  </w:style>
  <w:style w:type="paragraph" w:styleId="3">
    <w:name w:val="Balloon Text"/>
    <w:basedOn w:val="1"/>
    <w:link w:val="15"/>
    <w:unhideWhenUsed/>
    <w:qFormat/>
    <w:uiPriority w:val="99"/>
    <w:rPr>
      <w:sz w:val="18"/>
      <w:szCs w:val="18"/>
    </w:rPr>
  </w:style>
  <w:style w:type="paragraph" w:styleId="4">
    <w:name w:val="footer"/>
    <w:basedOn w:val="1"/>
    <w:link w:val="14"/>
    <w:unhideWhenUsed/>
    <w:qFormat/>
    <w:uiPriority w:val="99"/>
    <w:pPr>
      <w:tabs>
        <w:tab w:val="center" w:pos="4153"/>
        <w:tab w:val="right" w:pos="8306"/>
      </w:tabs>
      <w:snapToGrid w:val="0"/>
      <w:jc w:val="left"/>
    </w:pPr>
    <w:rPr>
      <w:sz w:val="18"/>
      <w:szCs w:val="18"/>
    </w:rPr>
  </w:style>
  <w:style w:type="paragraph" w:styleId="5">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Hyperlink"/>
    <w:basedOn w:val="6"/>
    <w:unhideWhenUsed/>
    <w:qFormat/>
    <w:uiPriority w:val="99"/>
    <w:rPr>
      <w:color w:val="0563C1" w:themeColor="hyperlink"/>
      <w:u w:val="single"/>
      <w14:textFill>
        <w14:solidFill>
          <w14:schemeClr w14:val="hlink"/>
        </w14:solidFill>
      </w14:textFill>
    </w:rPr>
  </w:style>
  <w:style w:type="character" w:customStyle="1" w:styleId="9">
    <w:name w:val="标题 3 字符"/>
    <w:basedOn w:val="6"/>
    <w:link w:val="2"/>
    <w:qFormat/>
    <w:uiPriority w:val="9"/>
    <w:rPr>
      <w:rFonts w:ascii="Times New Roman" w:hAnsi="Times New Roman" w:eastAsia="黑体"/>
      <w:b/>
      <w:bCs/>
      <w:sz w:val="30"/>
      <w:szCs w:val="32"/>
    </w:rPr>
  </w:style>
  <w:style w:type="paragraph" w:customStyle="1" w:styleId="10">
    <w:name w:val="列出段落1"/>
    <w:basedOn w:val="1"/>
    <w:qFormat/>
    <w:uiPriority w:val="34"/>
    <w:pPr>
      <w:ind w:firstLine="420" w:firstLineChars="200"/>
    </w:pPr>
  </w:style>
  <w:style w:type="paragraph" w:customStyle="1" w:styleId="11">
    <w:name w:val="jx-表格内容"/>
    <w:basedOn w:val="1"/>
    <w:qFormat/>
    <w:uiPriority w:val="0"/>
    <w:pPr>
      <w:widowControl/>
      <w:kinsoku w:val="0"/>
      <w:overflowPunct w:val="0"/>
      <w:autoSpaceDE w:val="0"/>
      <w:autoSpaceDN w:val="0"/>
      <w:jc w:val="center"/>
    </w:pPr>
    <w:rPr>
      <w:rFonts w:ascii="Times New Roman" w:hAnsi="Times New Roman" w:eastAsia="仿宋_GB2312" w:cs="Times New Roman"/>
      <w:color w:val="000000" w:themeColor="text1"/>
      <w:sz w:val="22"/>
      <w14:textFill>
        <w14:solidFill>
          <w14:schemeClr w14:val="tx1"/>
        </w14:solidFill>
      </w14:textFill>
    </w:rPr>
  </w:style>
  <w:style w:type="paragraph" w:customStyle="1" w:styleId="12">
    <w:name w:val="jx-备注"/>
    <w:basedOn w:val="1"/>
    <w:qFormat/>
    <w:uiPriority w:val="0"/>
    <w:pPr>
      <w:widowControl/>
      <w:tabs>
        <w:tab w:val="left" w:pos="5897"/>
      </w:tabs>
    </w:pPr>
    <w:rPr>
      <w:rFonts w:ascii="Times New Roman" w:hAnsi="Times New Roman" w:eastAsia="仿宋_GB2312" w:cs="Times New Roman"/>
      <w:sz w:val="18"/>
      <w:szCs w:val="21"/>
    </w:rPr>
  </w:style>
  <w:style w:type="character" w:customStyle="1" w:styleId="13">
    <w:name w:val="页眉 字符"/>
    <w:basedOn w:val="6"/>
    <w:link w:val="5"/>
    <w:qFormat/>
    <w:uiPriority w:val="99"/>
    <w:rPr>
      <w:sz w:val="18"/>
      <w:szCs w:val="18"/>
    </w:rPr>
  </w:style>
  <w:style w:type="character" w:customStyle="1" w:styleId="14">
    <w:name w:val="页脚 字符"/>
    <w:basedOn w:val="6"/>
    <w:link w:val="4"/>
    <w:qFormat/>
    <w:uiPriority w:val="99"/>
    <w:rPr>
      <w:sz w:val="18"/>
      <w:szCs w:val="18"/>
    </w:rPr>
  </w:style>
  <w:style w:type="character" w:customStyle="1" w:styleId="15">
    <w:name w:val="批注框文本 字符"/>
    <w:basedOn w:val="6"/>
    <w:link w:val="3"/>
    <w:semiHidden/>
    <w:qFormat/>
    <w:uiPriority w:val="99"/>
    <w:rPr>
      <w:kern w:val="2"/>
      <w:sz w:val="18"/>
      <w:szCs w:val="18"/>
    </w:rPr>
  </w:style>
  <w:style w:type="paragraph" w:customStyle="1" w:styleId="16">
    <w:name w:val="修订1"/>
    <w:hidden/>
    <w:unhideWhenUsed/>
    <w:qFormat/>
    <w:uiPriority w:val="99"/>
    <w:rPr>
      <w:rFonts w:asciiTheme="minorHAnsi" w:hAnsiTheme="minorHAnsi" w:eastAsiaTheme="minorEastAsia" w:cstheme="minorBidi"/>
      <w:kern w:val="2"/>
      <w:sz w:val="21"/>
      <w:szCs w:val="22"/>
      <w:lang w:val="en-US" w:eastAsia="zh-CN" w:bidi="ar-SA"/>
    </w:rPr>
  </w:style>
  <w:style w:type="character" w:customStyle="1" w:styleId="17">
    <w:name w:val="未处理的提及1"/>
    <w:basedOn w:val="6"/>
    <w:unhideWhenUsed/>
    <w:qFormat/>
    <w:uiPriority w:val="99"/>
    <w:rPr>
      <w:color w:val="605E5C"/>
      <w:shd w:val="clear" w:color="auto" w:fill="E1DFDD"/>
    </w:rPr>
  </w:style>
  <w:style w:type="paragraph" w:customStyle="1" w:styleId="18">
    <w:name w:val="修订2"/>
    <w:hidden/>
    <w:unhideWhenUsed/>
    <w:qFormat/>
    <w:uiPriority w:val="99"/>
    <w:rPr>
      <w:rFonts w:asciiTheme="minorHAnsi" w:hAnsiTheme="minorHAnsi" w:eastAsiaTheme="minorEastAsia" w:cstheme="minorBidi"/>
      <w:kern w:val="2"/>
      <w:sz w:val="21"/>
      <w:szCs w:val="22"/>
      <w:lang w:val="en-US" w:eastAsia="zh-CN" w:bidi="ar-SA"/>
    </w:rPr>
  </w:style>
  <w:style w:type="paragraph" w:customStyle="1" w:styleId="19">
    <w:name w:val="Revision"/>
    <w:hidden/>
    <w:unhideWhenUsed/>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B366859-E545-4D57-980F-3429AD2B996C}">
  <ds:schemaRefs/>
</ds:datastoreItem>
</file>

<file path=docProps/app.xml><?xml version="1.0" encoding="utf-8"?>
<Properties xmlns="http://schemas.openxmlformats.org/officeDocument/2006/extended-properties" xmlns:vt="http://schemas.openxmlformats.org/officeDocument/2006/docPropsVTypes">
  <Template>Normal.dotm</Template>
  <Pages>15</Pages>
  <Words>1034</Words>
  <Characters>5899</Characters>
  <Lines>49</Lines>
  <Paragraphs>13</Paragraphs>
  <TotalTime>44</TotalTime>
  <ScaleCrop>false</ScaleCrop>
  <LinksUpToDate>false</LinksUpToDate>
  <CharactersWithSpaces>6920</CharactersWithSpaces>
  <Application>WPS Office_10.8.0.6423_F1E327BC-269C-435d-A152-05C5408002CA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2024-11-05T15:14:00Z</dcterms:created>
  <dc:creator>Administration</dc:creator>
  <cp:lastModifiedBy>iFeng</cp:lastModifiedBy>
  <cp:lastPrinted>2024-12-03T02:36:00Z</cp:lastPrinted>
  <dcterms:modified xsi:type="dcterms:W3CDTF">2025-01-20T08:05:56Z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y fmtid="{D5CDD505-2E9C-101B-9397-08002B2CF9AE}" pid="3" name="ICV">
    <vt:lpwstr>8CDE9094391249DBB9DE7D4210809EA8_12</vt:lpwstr>
  </property>
</Properties>
</file>